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45" w:type="dxa"/>
        <w:tblCellMar>
          <w:left w:w="115" w:type="dxa"/>
          <w:right w:w="115" w:type="dxa"/>
        </w:tblCellMar>
        <w:tblLook w:val="0000" w:firstRow="0" w:lastRow="0" w:firstColumn="0" w:lastColumn="0" w:noHBand="0" w:noVBand="0"/>
      </w:tblPr>
      <w:tblGrid>
        <w:gridCol w:w="1980"/>
        <w:gridCol w:w="4748"/>
        <w:gridCol w:w="3352"/>
      </w:tblGrid>
      <w:tr w:rsidR="00B3356A" w:rsidRPr="0086110A" w14:paraId="461EB6FC" w14:textId="77777777" w:rsidTr="00DB163D">
        <w:trPr>
          <w:trHeight w:val="720"/>
        </w:trPr>
        <w:tc>
          <w:tcPr>
            <w:tcW w:w="6728" w:type="dxa"/>
            <w:gridSpan w:val="2"/>
            <w:vMerge w:val="restart"/>
          </w:tcPr>
          <w:p w14:paraId="3DBA586A" w14:textId="77777777" w:rsidR="00B3356A" w:rsidRPr="0011659F" w:rsidRDefault="00503381" w:rsidP="00427AF2">
            <w:pPr>
              <w:pStyle w:val="Heading1"/>
              <w:spacing w:before="0"/>
              <w:rPr>
                <w:sz w:val="28"/>
                <w:szCs w:val="28"/>
              </w:rPr>
            </w:pPr>
            <w:r>
              <w:rPr>
                <w:sz w:val="28"/>
                <w:szCs w:val="28"/>
              </w:rPr>
              <w:t>Fish</w:t>
            </w:r>
            <w:r w:rsidR="00B3356A" w:rsidRPr="0011659F">
              <w:rPr>
                <w:sz w:val="28"/>
                <w:szCs w:val="28"/>
              </w:rPr>
              <w:t xml:space="preserve"> Workgroup Meeting Agenda</w:t>
            </w:r>
          </w:p>
          <w:p w14:paraId="30DEB7CB" w14:textId="77777777" w:rsidR="00B3356A" w:rsidRPr="009140F8" w:rsidRDefault="00B3356A" w:rsidP="001B7F28">
            <w:pPr>
              <w:rPr>
                <w:b/>
              </w:rPr>
            </w:pPr>
          </w:p>
        </w:tc>
        <w:tc>
          <w:tcPr>
            <w:tcW w:w="3352" w:type="dxa"/>
            <w:vAlign w:val="center"/>
          </w:tcPr>
          <w:p w14:paraId="3BE3E2B9" w14:textId="77777777" w:rsidR="000A145F" w:rsidRPr="000A145F" w:rsidRDefault="000A145F" w:rsidP="007A5BEC">
            <w:pPr>
              <w:pStyle w:val="MeetingInformation"/>
              <w:ind w:left="0"/>
              <w:jc w:val="left"/>
              <w:rPr>
                <w:sz w:val="24"/>
                <w:u w:val="single"/>
              </w:rPr>
            </w:pPr>
          </w:p>
          <w:p w14:paraId="307DB2BE" w14:textId="77777777" w:rsidR="00A5282B" w:rsidRDefault="000670D0" w:rsidP="007A5BEC">
            <w:pPr>
              <w:pStyle w:val="MeetingInformation"/>
              <w:ind w:left="0"/>
              <w:jc w:val="left"/>
              <w:rPr>
                <w:sz w:val="24"/>
              </w:rPr>
            </w:pPr>
            <w:r>
              <w:rPr>
                <w:sz w:val="24"/>
              </w:rPr>
              <w:t>USFWS, Arcata, CA</w:t>
            </w:r>
          </w:p>
          <w:p w14:paraId="613EED33" w14:textId="77777777" w:rsidR="000A145F" w:rsidRPr="000A145F" w:rsidRDefault="000A145F" w:rsidP="007A5BEC">
            <w:pPr>
              <w:pStyle w:val="MeetingInformation"/>
              <w:ind w:left="0"/>
              <w:jc w:val="left"/>
              <w:rPr>
                <w:sz w:val="24"/>
              </w:rPr>
            </w:pPr>
          </w:p>
        </w:tc>
      </w:tr>
      <w:tr w:rsidR="000A145F" w:rsidRPr="0086110A" w14:paraId="4FD6F19B" w14:textId="77777777" w:rsidTr="00DB163D">
        <w:trPr>
          <w:trHeight w:val="1017"/>
        </w:trPr>
        <w:tc>
          <w:tcPr>
            <w:tcW w:w="6728" w:type="dxa"/>
            <w:gridSpan w:val="2"/>
            <w:vMerge/>
          </w:tcPr>
          <w:p w14:paraId="235ECC3F" w14:textId="77777777" w:rsidR="000A145F" w:rsidRPr="0086110A" w:rsidRDefault="000A145F" w:rsidP="001B7F28"/>
        </w:tc>
        <w:tc>
          <w:tcPr>
            <w:tcW w:w="3352" w:type="dxa"/>
          </w:tcPr>
          <w:p w14:paraId="354DD601" w14:textId="77777777" w:rsidR="000A145F" w:rsidRPr="000A145F" w:rsidRDefault="000A145F" w:rsidP="000A145F">
            <w:pPr>
              <w:pStyle w:val="MeetingInformation"/>
              <w:ind w:left="0"/>
              <w:jc w:val="left"/>
              <w:rPr>
                <w:sz w:val="24"/>
              </w:rPr>
            </w:pPr>
          </w:p>
          <w:p w14:paraId="0617BA29" w14:textId="77777777" w:rsidR="000A145F" w:rsidRPr="000A145F" w:rsidRDefault="000670D0" w:rsidP="000A145F">
            <w:pPr>
              <w:pStyle w:val="MeetingInformation"/>
              <w:ind w:left="0"/>
              <w:jc w:val="left"/>
              <w:rPr>
                <w:sz w:val="24"/>
              </w:rPr>
            </w:pPr>
            <w:r>
              <w:rPr>
                <w:sz w:val="24"/>
              </w:rPr>
              <w:t>April 4</w:t>
            </w:r>
            <w:r w:rsidR="00427AF2">
              <w:rPr>
                <w:sz w:val="24"/>
              </w:rPr>
              <w:t>, 201</w:t>
            </w:r>
            <w:r w:rsidR="007F2141">
              <w:rPr>
                <w:sz w:val="24"/>
              </w:rPr>
              <w:t>7</w:t>
            </w:r>
          </w:p>
          <w:p w14:paraId="574D698C" w14:textId="41FBD583" w:rsidR="000A145F" w:rsidRPr="000A145F" w:rsidRDefault="00712EB0" w:rsidP="00712EB0">
            <w:pPr>
              <w:pStyle w:val="MeetingInformation"/>
              <w:ind w:left="0"/>
              <w:jc w:val="left"/>
              <w:rPr>
                <w:sz w:val="24"/>
              </w:rPr>
            </w:pPr>
            <w:r>
              <w:rPr>
                <w:sz w:val="24"/>
              </w:rPr>
              <w:t>9</w:t>
            </w:r>
            <w:bookmarkStart w:id="0" w:name="_GoBack"/>
            <w:bookmarkEnd w:id="0"/>
            <w:r w:rsidR="007F2141">
              <w:rPr>
                <w:sz w:val="24"/>
              </w:rPr>
              <w:t>:</w:t>
            </w:r>
            <w:r>
              <w:rPr>
                <w:sz w:val="24"/>
              </w:rPr>
              <w:t>05</w:t>
            </w:r>
            <w:r w:rsidR="000A145F" w:rsidRPr="000A145F">
              <w:rPr>
                <w:sz w:val="24"/>
              </w:rPr>
              <w:t>am-3:</w:t>
            </w:r>
            <w:r w:rsidR="00DB163D">
              <w:rPr>
                <w:sz w:val="24"/>
              </w:rPr>
              <w:t>30</w:t>
            </w:r>
            <w:r w:rsidR="000A145F" w:rsidRPr="000A145F">
              <w:rPr>
                <w:sz w:val="24"/>
              </w:rPr>
              <w:t>pm</w:t>
            </w:r>
          </w:p>
        </w:tc>
      </w:tr>
      <w:tr w:rsidR="000A145F" w:rsidRPr="000A145F" w14:paraId="595252FC" w14:textId="77777777" w:rsidTr="00DB163D">
        <w:trPr>
          <w:trHeight w:val="330"/>
        </w:trPr>
        <w:tc>
          <w:tcPr>
            <w:tcW w:w="1980" w:type="dxa"/>
            <w:tcBorders>
              <w:top w:val="single" w:sz="12" w:space="0" w:color="999999"/>
              <w:bottom w:val="single" w:sz="4" w:space="0" w:color="999999"/>
            </w:tcBorders>
            <w:vAlign w:val="center"/>
          </w:tcPr>
          <w:p w14:paraId="03FFA7AC" w14:textId="77777777" w:rsidR="000A145F" w:rsidRPr="000A145F" w:rsidRDefault="000A145F" w:rsidP="000A145F">
            <w:pPr>
              <w:pStyle w:val="1stLine"/>
              <w:jc w:val="right"/>
              <w:rPr>
                <w:rFonts w:ascii="Arial" w:hAnsi="Arial" w:cs="Arial"/>
                <w:sz w:val="20"/>
                <w:szCs w:val="20"/>
              </w:rPr>
            </w:pPr>
            <w:r w:rsidRPr="000A145F">
              <w:rPr>
                <w:rFonts w:ascii="Arial" w:hAnsi="Arial" w:cs="Arial"/>
                <w:sz w:val="20"/>
                <w:szCs w:val="20"/>
              </w:rPr>
              <w:t>Coordinator:</w:t>
            </w:r>
          </w:p>
        </w:tc>
        <w:tc>
          <w:tcPr>
            <w:tcW w:w="4748" w:type="dxa"/>
            <w:tcBorders>
              <w:top w:val="single" w:sz="12" w:space="0" w:color="999999"/>
              <w:bottom w:val="single" w:sz="4" w:space="0" w:color="999999"/>
            </w:tcBorders>
            <w:vAlign w:val="center"/>
          </w:tcPr>
          <w:p w14:paraId="01D0153B" w14:textId="77777777" w:rsidR="000A145F" w:rsidRPr="000A145F" w:rsidRDefault="000A145F" w:rsidP="000A145F">
            <w:pPr>
              <w:pStyle w:val="1stLine"/>
              <w:rPr>
                <w:rFonts w:ascii="Arial" w:hAnsi="Arial" w:cs="Arial"/>
                <w:sz w:val="20"/>
                <w:szCs w:val="20"/>
              </w:rPr>
            </w:pPr>
            <w:r w:rsidRPr="000A145F">
              <w:rPr>
                <w:rFonts w:ascii="Arial" w:hAnsi="Arial" w:cs="Arial"/>
                <w:sz w:val="20"/>
                <w:szCs w:val="20"/>
              </w:rPr>
              <w:t xml:space="preserve">Todd Buxton  </w:t>
            </w:r>
          </w:p>
        </w:tc>
        <w:tc>
          <w:tcPr>
            <w:tcW w:w="3352" w:type="dxa"/>
            <w:tcBorders>
              <w:top w:val="single" w:sz="12" w:space="0" w:color="999999"/>
              <w:bottom w:val="single" w:sz="4" w:space="0" w:color="999999"/>
            </w:tcBorders>
            <w:vAlign w:val="center"/>
          </w:tcPr>
          <w:p w14:paraId="26CB1E33" w14:textId="77777777" w:rsidR="000A145F" w:rsidRPr="000A145F" w:rsidRDefault="000A145F" w:rsidP="001B7F28">
            <w:pPr>
              <w:pStyle w:val="1stLine"/>
              <w:rPr>
                <w:rFonts w:ascii="Arial" w:hAnsi="Arial" w:cs="Arial"/>
                <w:sz w:val="20"/>
                <w:szCs w:val="20"/>
              </w:rPr>
            </w:pPr>
          </w:p>
        </w:tc>
      </w:tr>
      <w:tr w:rsidR="00B3356A" w:rsidRPr="000A145F" w14:paraId="307B1215" w14:textId="77777777" w:rsidTr="000A145F">
        <w:tc>
          <w:tcPr>
            <w:tcW w:w="1980" w:type="dxa"/>
            <w:tcBorders>
              <w:top w:val="single" w:sz="4" w:space="0" w:color="999999"/>
              <w:bottom w:val="single" w:sz="4" w:space="0" w:color="999999"/>
            </w:tcBorders>
            <w:vAlign w:val="center"/>
          </w:tcPr>
          <w:p w14:paraId="464670D4" w14:textId="77777777" w:rsidR="00B3356A" w:rsidRPr="000A145F" w:rsidRDefault="001E2B67" w:rsidP="000A145F">
            <w:pPr>
              <w:pStyle w:val="FieldLabel"/>
              <w:jc w:val="right"/>
              <w:rPr>
                <w:rFonts w:ascii="Arial" w:hAnsi="Arial" w:cs="Arial"/>
                <w:sz w:val="20"/>
                <w:szCs w:val="20"/>
              </w:rPr>
            </w:pPr>
            <w:r w:rsidRPr="000A145F">
              <w:rPr>
                <w:rFonts w:ascii="Arial" w:hAnsi="Arial" w:cs="Arial"/>
                <w:sz w:val="20"/>
                <w:szCs w:val="20"/>
              </w:rPr>
              <w:t xml:space="preserve">Please </w:t>
            </w:r>
            <w:r w:rsidR="00B3356A" w:rsidRPr="000A145F">
              <w:rPr>
                <w:rFonts w:ascii="Arial" w:hAnsi="Arial" w:cs="Arial"/>
                <w:sz w:val="20"/>
                <w:szCs w:val="20"/>
              </w:rPr>
              <w:t>review:</w:t>
            </w:r>
          </w:p>
        </w:tc>
        <w:tc>
          <w:tcPr>
            <w:tcW w:w="8100" w:type="dxa"/>
            <w:gridSpan w:val="2"/>
            <w:tcBorders>
              <w:top w:val="single" w:sz="4" w:space="0" w:color="999999"/>
              <w:bottom w:val="single" w:sz="4" w:space="0" w:color="999999"/>
            </w:tcBorders>
            <w:vAlign w:val="center"/>
          </w:tcPr>
          <w:p w14:paraId="17634258" w14:textId="77777777" w:rsidR="00E24485" w:rsidRDefault="008B7AAE" w:rsidP="008B7AAE">
            <w:pPr>
              <w:pStyle w:val="FieldText"/>
              <w:numPr>
                <w:ilvl w:val="0"/>
                <w:numId w:val="9"/>
              </w:numPr>
              <w:rPr>
                <w:rFonts w:cs="Arial"/>
                <w:sz w:val="20"/>
              </w:rPr>
            </w:pPr>
            <w:r>
              <w:rPr>
                <w:rFonts w:cs="Arial"/>
                <w:sz w:val="20"/>
              </w:rPr>
              <w:t xml:space="preserve">Report on analysis of random scale sampling at TRH </w:t>
            </w:r>
          </w:p>
          <w:p w14:paraId="55F4EED4" w14:textId="0897334E" w:rsidR="006E3726" w:rsidRPr="008B7AAE" w:rsidRDefault="006E3726" w:rsidP="00B10C2D">
            <w:pPr>
              <w:pStyle w:val="FieldText"/>
              <w:numPr>
                <w:ilvl w:val="0"/>
                <w:numId w:val="9"/>
              </w:numPr>
              <w:rPr>
                <w:rFonts w:cs="Arial"/>
                <w:sz w:val="20"/>
              </w:rPr>
            </w:pPr>
            <w:r>
              <w:rPr>
                <w:rFonts w:cs="Arial"/>
                <w:sz w:val="20"/>
              </w:rPr>
              <w:t>Outlines for proposed reporting projects for FY2018</w:t>
            </w:r>
            <w:r w:rsidR="00B10C2D">
              <w:rPr>
                <w:rFonts w:cs="Arial"/>
                <w:sz w:val="20"/>
              </w:rPr>
              <w:t xml:space="preserve"> (provided by Jennifer soon)</w:t>
            </w:r>
          </w:p>
        </w:tc>
      </w:tr>
    </w:tbl>
    <w:p w14:paraId="7C718C03" w14:textId="77777777" w:rsidR="00B3356A" w:rsidRPr="000A145F" w:rsidRDefault="00B3356A">
      <w:pPr>
        <w:rPr>
          <w:rFonts w:cs="Arial"/>
          <w:sz w:val="20"/>
        </w:rPr>
      </w:pPr>
    </w:p>
    <w:p w14:paraId="2B154DDF" w14:textId="77777777" w:rsidR="00B3356A" w:rsidRPr="000A145F" w:rsidRDefault="00B3356A" w:rsidP="007A374F">
      <w:pPr>
        <w:rPr>
          <w:rFonts w:cs="Arial"/>
          <w:sz w:val="2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55"/>
        <w:gridCol w:w="6478"/>
        <w:gridCol w:w="2311"/>
      </w:tblGrid>
      <w:tr w:rsidR="000A57A8" w:rsidRPr="000A145F" w14:paraId="55D551D6" w14:textId="77777777" w:rsidTr="000A57A8">
        <w:trPr>
          <w:trHeight w:val="323"/>
          <w:jc w:val="center"/>
        </w:trPr>
        <w:tc>
          <w:tcPr>
            <w:tcW w:w="10044" w:type="dxa"/>
            <w:gridSpan w:val="3"/>
            <w:vAlign w:val="center"/>
          </w:tcPr>
          <w:p w14:paraId="6B59245F" w14:textId="77777777" w:rsidR="000A57A8" w:rsidRPr="000A145F" w:rsidRDefault="000A57A8" w:rsidP="000A57A8">
            <w:pPr>
              <w:jc w:val="center"/>
              <w:rPr>
                <w:rFonts w:cs="Arial"/>
                <w:b/>
                <w:sz w:val="20"/>
              </w:rPr>
            </w:pPr>
            <w:r w:rsidRPr="000A145F">
              <w:rPr>
                <w:rFonts w:cs="Arial"/>
                <w:b/>
                <w:sz w:val="20"/>
              </w:rPr>
              <w:t>Agenda</w:t>
            </w:r>
          </w:p>
        </w:tc>
      </w:tr>
      <w:tr w:rsidR="0076009D" w:rsidRPr="000A145F" w14:paraId="0B5FD3DC" w14:textId="77777777" w:rsidTr="00A5282B">
        <w:trPr>
          <w:trHeight w:val="323"/>
          <w:jc w:val="center"/>
        </w:trPr>
        <w:tc>
          <w:tcPr>
            <w:tcW w:w="1255" w:type="dxa"/>
            <w:vAlign w:val="center"/>
          </w:tcPr>
          <w:p w14:paraId="73B16C5C" w14:textId="77777777" w:rsidR="0076009D" w:rsidRPr="000A145F" w:rsidRDefault="0076009D" w:rsidP="0004644A">
            <w:pPr>
              <w:rPr>
                <w:rFonts w:cs="Arial"/>
                <w:sz w:val="20"/>
              </w:rPr>
            </w:pPr>
            <w:r w:rsidRPr="000A145F">
              <w:rPr>
                <w:rFonts w:cs="Arial"/>
                <w:sz w:val="20"/>
              </w:rPr>
              <w:t>Time</w:t>
            </w:r>
          </w:p>
        </w:tc>
        <w:tc>
          <w:tcPr>
            <w:tcW w:w="6478" w:type="dxa"/>
            <w:vAlign w:val="center"/>
          </w:tcPr>
          <w:p w14:paraId="7896FBA8" w14:textId="77777777" w:rsidR="0076009D" w:rsidRPr="000A145F" w:rsidRDefault="0076009D" w:rsidP="0004644A">
            <w:pPr>
              <w:rPr>
                <w:rFonts w:cs="Arial"/>
                <w:sz w:val="20"/>
              </w:rPr>
            </w:pPr>
            <w:r w:rsidRPr="000A145F">
              <w:rPr>
                <w:rFonts w:cs="Arial"/>
                <w:sz w:val="20"/>
              </w:rPr>
              <w:t>Topic</w:t>
            </w:r>
          </w:p>
        </w:tc>
        <w:tc>
          <w:tcPr>
            <w:tcW w:w="2311" w:type="dxa"/>
            <w:vAlign w:val="center"/>
          </w:tcPr>
          <w:p w14:paraId="53414E25" w14:textId="77777777" w:rsidR="0076009D" w:rsidRPr="000A145F" w:rsidRDefault="0076009D" w:rsidP="0004644A">
            <w:pPr>
              <w:rPr>
                <w:rFonts w:cs="Arial"/>
                <w:sz w:val="20"/>
              </w:rPr>
            </w:pPr>
            <w:r w:rsidRPr="000A145F">
              <w:rPr>
                <w:rFonts w:cs="Arial"/>
                <w:sz w:val="20"/>
              </w:rPr>
              <w:t>Presenter</w:t>
            </w:r>
          </w:p>
        </w:tc>
      </w:tr>
      <w:tr w:rsidR="0076009D" w:rsidRPr="000A145F" w14:paraId="38ECFD62" w14:textId="77777777" w:rsidTr="00A5282B">
        <w:trPr>
          <w:trHeight w:val="338"/>
          <w:jc w:val="center"/>
        </w:trPr>
        <w:tc>
          <w:tcPr>
            <w:tcW w:w="1255" w:type="dxa"/>
            <w:vAlign w:val="center"/>
          </w:tcPr>
          <w:p w14:paraId="764F6068" w14:textId="12949D73" w:rsidR="0076009D" w:rsidRPr="000A145F" w:rsidRDefault="0076009D" w:rsidP="00712EB0">
            <w:pPr>
              <w:rPr>
                <w:rFonts w:cs="Arial"/>
                <w:sz w:val="20"/>
              </w:rPr>
            </w:pPr>
            <w:r w:rsidRPr="000A145F">
              <w:rPr>
                <w:rFonts w:cs="Arial"/>
                <w:sz w:val="20"/>
              </w:rPr>
              <w:t>0</w:t>
            </w:r>
            <w:r w:rsidR="00712EB0">
              <w:rPr>
                <w:rFonts w:cs="Arial"/>
                <w:sz w:val="20"/>
              </w:rPr>
              <w:t>900</w:t>
            </w:r>
            <w:r w:rsidR="000A77EE">
              <w:rPr>
                <w:rFonts w:cs="Arial"/>
                <w:sz w:val="20"/>
              </w:rPr>
              <w:t>-09</w:t>
            </w:r>
            <w:r w:rsidR="00DB163D">
              <w:rPr>
                <w:rFonts w:cs="Arial"/>
                <w:sz w:val="20"/>
              </w:rPr>
              <w:t>0</w:t>
            </w:r>
            <w:r w:rsidR="00712EB0">
              <w:rPr>
                <w:rFonts w:cs="Arial"/>
                <w:sz w:val="20"/>
              </w:rPr>
              <w:t>5</w:t>
            </w:r>
          </w:p>
        </w:tc>
        <w:tc>
          <w:tcPr>
            <w:tcW w:w="6478" w:type="dxa"/>
            <w:vAlign w:val="center"/>
          </w:tcPr>
          <w:p w14:paraId="5E326C8B" w14:textId="0D392A8D" w:rsidR="0076009D" w:rsidRPr="000A145F" w:rsidRDefault="0076009D" w:rsidP="007C0535">
            <w:pPr>
              <w:pStyle w:val="ActionItems"/>
              <w:numPr>
                <w:ilvl w:val="0"/>
                <w:numId w:val="0"/>
              </w:numPr>
              <w:rPr>
                <w:sz w:val="20"/>
              </w:rPr>
            </w:pPr>
            <w:r w:rsidRPr="000A145F">
              <w:rPr>
                <w:sz w:val="20"/>
              </w:rPr>
              <w:t>Agenda Review /</w:t>
            </w:r>
            <w:r w:rsidR="007C0535">
              <w:rPr>
                <w:sz w:val="20"/>
              </w:rPr>
              <w:t xml:space="preserve"> </w:t>
            </w:r>
            <w:r w:rsidRPr="000A145F">
              <w:rPr>
                <w:sz w:val="20"/>
              </w:rPr>
              <w:t>Announcements</w:t>
            </w:r>
          </w:p>
        </w:tc>
        <w:tc>
          <w:tcPr>
            <w:tcW w:w="2311" w:type="dxa"/>
            <w:vAlign w:val="center"/>
          </w:tcPr>
          <w:p w14:paraId="4F7AE697" w14:textId="77777777" w:rsidR="0076009D" w:rsidRPr="000A145F" w:rsidRDefault="005B3810" w:rsidP="00DA1C9A">
            <w:pPr>
              <w:rPr>
                <w:rFonts w:cs="Arial"/>
                <w:sz w:val="20"/>
              </w:rPr>
            </w:pPr>
            <w:r w:rsidRPr="000A145F">
              <w:rPr>
                <w:rFonts w:cs="Arial"/>
                <w:sz w:val="20"/>
              </w:rPr>
              <w:t>Todd</w:t>
            </w:r>
            <w:r w:rsidR="0076009D" w:rsidRPr="000A145F">
              <w:rPr>
                <w:rFonts w:cs="Arial"/>
                <w:sz w:val="20"/>
              </w:rPr>
              <w:t xml:space="preserve"> </w:t>
            </w:r>
          </w:p>
        </w:tc>
      </w:tr>
      <w:tr w:rsidR="00727D9C" w:rsidRPr="000A145F" w14:paraId="2EBEBD1E" w14:textId="77777777" w:rsidTr="00A5282B">
        <w:trPr>
          <w:trHeight w:val="338"/>
          <w:jc w:val="center"/>
        </w:trPr>
        <w:tc>
          <w:tcPr>
            <w:tcW w:w="1255" w:type="dxa"/>
            <w:vAlign w:val="center"/>
          </w:tcPr>
          <w:p w14:paraId="76C159DC" w14:textId="57F48830" w:rsidR="00727D9C" w:rsidRPr="000A145F" w:rsidRDefault="00727D9C" w:rsidP="00712EB0">
            <w:pPr>
              <w:rPr>
                <w:rFonts w:cs="Arial"/>
                <w:sz w:val="20"/>
              </w:rPr>
            </w:pPr>
            <w:r>
              <w:rPr>
                <w:rFonts w:cs="Arial"/>
                <w:sz w:val="20"/>
              </w:rPr>
              <w:t>09</w:t>
            </w:r>
            <w:r w:rsidR="00DB163D">
              <w:rPr>
                <w:rFonts w:cs="Arial"/>
                <w:sz w:val="20"/>
              </w:rPr>
              <w:t>0</w:t>
            </w:r>
            <w:r w:rsidR="00712EB0">
              <w:rPr>
                <w:rFonts w:cs="Arial"/>
                <w:sz w:val="20"/>
              </w:rPr>
              <w:t>5</w:t>
            </w:r>
            <w:r>
              <w:rPr>
                <w:rFonts w:cs="Arial"/>
                <w:sz w:val="20"/>
              </w:rPr>
              <w:t>-1</w:t>
            </w:r>
            <w:r w:rsidR="00DB163D">
              <w:rPr>
                <w:rFonts w:cs="Arial"/>
                <w:sz w:val="20"/>
              </w:rPr>
              <w:t>0</w:t>
            </w:r>
            <w:r>
              <w:rPr>
                <w:rFonts w:cs="Arial"/>
                <w:sz w:val="20"/>
              </w:rPr>
              <w:t>00</w:t>
            </w:r>
          </w:p>
        </w:tc>
        <w:tc>
          <w:tcPr>
            <w:tcW w:w="6478" w:type="dxa"/>
            <w:vAlign w:val="center"/>
          </w:tcPr>
          <w:p w14:paraId="72A15524" w14:textId="525614F6" w:rsidR="00727D9C" w:rsidRPr="000A145F" w:rsidRDefault="00DB163D" w:rsidP="00727D9C">
            <w:pPr>
              <w:pStyle w:val="FieldText"/>
              <w:rPr>
                <w:rFonts w:cs="Arial"/>
                <w:sz w:val="20"/>
              </w:rPr>
            </w:pPr>
            <w:r>
              <w:rPr>
                <w:rFonts w:cs="Arial"/>
                <w:sz w:val="20"/>
              </w:rPr>
              <w:t>Approach for cohort analyses for fall Chinook and fate of subgroup</w:t>
            </w:r>
          </w:p>
        </w:tc>
        <w:tc>
          <w:tcPr>
            <w:tcW w:w="2311" w:type="dxa"/>
            <w:vAlign w:val="center"/>
          </w:tcPr>
          <w:p w14:paraId="324C289C" w14:textId="77CD8593" w:rsidR="00727D9C" w:rsidRPr="000A145F" w:rsidRDefault="00DB163D" w:rsidP="00727D9C">
            <w:pPr>
              <w:rPr>
                <w:rFonts w:cs="Arial"/>
                <w:sz w:val="20"/>
              </w:rPr>
            </w:pPr>
            <w:r>
              <w:rPr>
                <w:rFonts w:cs="Arial"/>
                <w:sz w:val="20"/>
              </w:rPr>
              <w:t>Joe</w:t>
            </w:r>
          </w:p>
        </w:tc>
      </w:tr>
      <w:tr w:rsidR="00727D9C" w:rsidRPr="000A145F" w14:paraId="6A8BFF5D" w14:textId="77777777" w:rsidTr="00A5282B">
        <w:trPr>
          <w:trHeight w:val="338"/>
          <w:jc w:val="center"/>
        </w:trPr>
        <w:tc>
          <w:tcPr>
            <w:tcW w:w="1255" w:type="dxa"/>
            <w:vAlign w:val="center"/>
          </w:tcPr>
          <w:p w14:paraId="56156B04" w14:textId="20A63C8C" w:rsidR="00727D9C" w:rsidRPr="000A145F" w:rsidRDefault="00727D9C" w:rsidP="00DB163D">
            <w:pPr>
              <w:rPr>
                <w:rFonts w:cs="Arial"/>
                <w:sz w:val="20"/>
              </w:rPr>
            </w:pPr>
            <w:r>
              <w:rPr>
                <w:rFonts w:cs="Arial"/>
                <w:sz w:val="20"/>
              </w:rPr>
              <w:t>1</w:t>
            </w:r>
            <w:r w:rsidR="00DB163D">
              <w:rPr>
                <w:rFonts w:cs="Arial"/>
                <w:sz w:val="20"/>
              </w:rPr>
              <w:t>0</w:t>
            </w:r>
            <w:r>
              <w:rPr>
                <w:rFonts w:cs="Arial"/>
                <w:sz w:val="20"/>
              </w:rPr>
              <w:t>00-12</w:t>
            </w:r>
            <w:r w:rsidR="00DB163D">
              <w:rPr>
                <w:rFonts w:cs="Arial"/>
                <w:sz w:val="20"/>
              </w:rPr>
              <w:t>15</w:t>
            </w:r>
          </w:p>
        </w:tc>
        <w:tc>
          <w:tcPr>
            <w:tcW w:w="6478" w:type="dxa"/>
            <w:vAlign w:val="center"/>
          </w:tcPr>
          <w:p w14:paraId="0EB76BEC" w14:textId="0FB21C7B" w:rsidR="00727D9C" w:rsidRPr="000A145F" w:rsidRDefault="00DB163D" w:rsidP="00DB163D">
            <w:pPr>
              <w:pStyle w:val="FieldText"/>
              <w:rPr>
                <w:rFonts w:cs="Arial"/>
                <w:sz w:val="20"/>
              </w:rPr>
            </w:pPr>
            <w:r>
              <w:rPr>
                <w:rFonts w:cs="Arial"/>
                <w:sz w:val="20"/>
              </w:rPr>
              <w:t>Review comments for</w:t>
            </w:r>
            <w:r>
              <w:rPr>
                <w:rFonts w:cs="Arial"/>
                <w:sz w:val="20"/>
              </w:rPr>
              <w:t xml:space="preserve"> outlines for FY 2018 proposed reporting projects</w:t>
            </w:r>
          </w:p>
        </w:tc>
        <w:tc>
          <w:tcPr>
            <w:tcW w:w="2311" w:type="dxa"/>
            <w:vAlign w:val="center"/>
          </w:tcPr>
          <w:p w14:paraId="2DB3ECB1" w14:textId="2B4A7305" w:rsidR="00727D9C" w:rsidRPr="000A145F" w:rsidRDefault="00DB163D" w:rsidP="00727D9C">
            <w:pPr>
              <w:rPr>
                <w:rFonts w:cs="Arial"/>
                <w:sz w:val="20"/>
              </w:rPr>
            </w:pPr>
            <w:r>
              <w:rPr>
                <w:rFonts w:cs="Arial"/>
                <w:sz w:val="20"/>
              </w:rPr>
              <w:t>Jennifer</w:t>
            </w:r>
          </w:p>
        </w:tc>
      </w:tr>
      <w:tr w:rsidR="00DB163D" w:rsidRPr="000A145F" w14:paraId="1526B6D0" w14:textId="77777777" w:rsidTr="00A5282B">
        <w:trPr>
          <w:trHeight w:val="338"/>
          <w:jc w:val="center"/>
        </w:trPr>
        <w:tc>
          <w:tcPr>
            <w:tcW w:w="1255" w:type="dxa"/>
            <w:vAlign w:val="center"/>
          </w:tcPr>
          <w:p w14:paraId="50005CA1" w14:textId="3BFAFF0B" w:rsidR="00DB163D" w:rsidRDefault="00DB163D" w:rsidP="00DB163D">
            <w:pPr>
              <w:rPr>
                <w:rFonts w:cs="Arial"/>
                <w:sz w:val="20"/>
              </w:rPr>
            </w:pPr>
            <w:r>
              <w:rPr>
                <w:rFonts w:cs="Arial"/>
                <w:sz w:val="20"/>
              </w:rPr>
              <w:t>1215-1300</w:t>
            </w:r>
          </w:p>
        </w:tc>
        <w:tc>
          <w:tcPr>
            <w:tcW w:w="6478" w:type="dxa"/>
            <w:vAlign w:val="center"/>
          </w:tcPr>
          <w:p w14:paraId="38EE60DC" w14:textId="27170CE2" w:rsidR="00DB163D" w:rsidRDefault="00DB163D" w:rsidP="00DB163D">
            <w:pPr>
              <w:pStyle w:val="FieldText"/>
              <w:rPr>
                <w:rFonts w:cs="Arial"/>
                <w:sz w:val="20"/>
              </w:rPr>
            </w:pPr>
            <w:r>
              <w:rPr>
                <w:rFonts w:cs="Arial"/>
                <w:sz w:val="20"/>
              </w:rPr>
              <w:t>Lunch</w:t>
            </w:r>
          </w:p>
        </w:tc>
        <w:tc>
          <w:tcPr>
            <w:tcW w:w="2311" w:type="dxa"/>
            <w:vAlign w:val="center"/>
          </w:tcPr>
          <w:p w14:paraId="2C069FA1" w14:textId="77777777" w:rsidR="00DB163D" w:rsidRDefault="00DB163D" w:rsidP="00DB163D">
            <w:pPr>
              <w:rPr>
                <w:rFonts w:cs="Arial"/>
                <w:sz w:val="20"/>
              </w:rPr>
            </w:pPr>
          </w:p>
        </w:tc>
      </w:tr>
      <w:tr w:rsidR="00DB163D" w:rsidRPr="000A145F" w14:paraId="0146B666" w14:textId="77777777" w:rsidTr="00A5282B">
        <w:trPr>
          <w:trHeight w:val="339"/>
          <w:jc w:val="center"/>
        </w:trPr>
        <w:tc>
          <w:tcPr>
            <w:tcW w:w="1255" w:type="dxa"/>
            <w:vAlign w:val="center"/>
          </w:tcPr>
          <w:p w14:paraId="17D0946A" w14:textId="7C726011" w:rsidR="00DB163D" w:rsidRDefault="00DB163D" w:rsidP="00DB163D">
            <w:pPr>
              <w:rPr>
                <w:rFonts w:cs="Arial"/>
                <w:sz w:val="20"/>
              </w:rPr>
            </w:pPr>
            <w:r>
              <w:rPr>
                <w:rFonts w:cs="Arial"/>
                <w:sz w:val="20"/>
              </w:rPr>
              <w:t>1300-1400</w:t>
            </w:r>
          </w:p>
        </w:tc>
        <w:tc>
          <w:tcPr>
            <w:tcW w:w="6478" w:type="dxa"/>
            <w:vAlign w:val="center"/>
          </w:tcPr>
          <w:p w14:paraId="37DA6320" w14:textId="10C9B2F0" w:rsidR="00DB163D" w:rsidRDefault="00DB163D" w:rsidP="00DB163D">
            <w:pPr>
              <w:pStyle w:val="FieldText"/>
              <w:rPr>
                <w:rFonts w:cs="Arial"/>
                <w:sz w:val="20"/>
              </w:rPr>
            </w:pPr>
            <w:r>
              <w:rPr>
                <w:rFonts w:cs="Arial"/>
                <w:sz w:val="20"/>
              </w:rPr>
              <w:t>Comments on report on analysis of random scale sampling at TRH</w:t>
            </w:r>
          </w:p>
        </w:tc>
        <w:tc>
          <w:tcPr>
            <w:tcW w:w="2311" w:type="dxa"/>
            <w:vAlign w:val="center"/>
          </w:tcPr>
          <w:p w14:paraId="50199A71" w14:textId="1DA4C1B7" w:rsidR="00DB163D" w:rsidRDefault="00DB163D" w:rsidP="00DB163D">
            <w:pPr>
              <w:rPr>
                <w:rFonts w:cs="Arial"/>
                <w:sz w:val="20"/>
              </w:rPr>
            </w:pPr>
            <w:r>
              <w:rPr>
                <w:rFonts w:cs="Arial"/>
                <w:sz w:val="20"/>
              </w:rPr>
              <w:t xml:space="preserve">Todd, </w:t>
            </w:r>
            <w:r>
              <w:rPr>
                <w:rFonts w:cs="Arial"/>
                <w:sz w:val="20"/>
              </w:rPr>
              <w:t>Ken</w:t>
            </w:r>
          </w:p>
        </w:tc>
      </w:tr>
      <w:tr w:rsidR="00DB163D" w:rsidRPr="000A145F" w14:paraId="42CB60D9" w14:textId="77777777" w:rsidTr="00A5282B">
        <w:trPr>
          <w:trHeight w:val="339"/>
          <w:jc w:val="center"/>
        </w:trPr>
        <w:tc>
          <w:tcPr>
            <w:tcW w:w="1255" w:type="dxa"/>
            <w:vAlign w:val="center"/>
          </w:tcPr>
          <w:p w14:paraId="10D01643" w14:textId="28235722" w:rsidR="00DB163D" w:rsidRDefault="00DB163D" w:rsidP="00DB163D">
            <w:pPr>
              <w:rPr>
                <w:rFonts w:cs="Arial"/>
                <w:sz w:val="20"/>
              </w:rPr>
            </w:pPr>
            <w:r>
              <w:rPr>
                <w:rFonts w:cs="Arial"/>
                <w:sz w:val="20"/>
              </w:rPr>
              <w:t>1400-1445</w:t>
            </w:r>
          </w:p>
        </w:tc>
        <w:tc>
          <w:tcPr>
            <w:tcW w:w="6478" w:type="dxa"/>
            <w:vAlign w:val="center"/>
          </w:tcPr>
          <w:p w14:paraId="19F2CC74" w14:textId="31C5C989" w:rsidR="00DB163D" w:rsidRPr="000A145F" w:rsidRDefault="00DB163D" w:rsidP="00DB163D">
            <w:pPr>
              <w:pStyle w:val="FieldText"/>
              <w:rPr>
                <w:rFonts w:cs="Arial"/>
                <w:sz w:val="20"/>
              </w:rPr>
            </w:pPr>
            <w:r>
              <w:rPr>
                <w:rFonts w:cs="Arial"/>
                <w:sz w:val="20"/>
              </w:rPr>
              <w:t>Juvenile infection rates in lower Klamath R and WY type in Trinity R</w:t>
            </w:r>
          </w:p>
        </w:tc>
        <w:tc>
          <w:tcPr>
            <w:tcW w:w="2311" w:type="dxa"/>
            <w:vAlign w:val="center"/>
          </w:tcPr>
          <w:p w14:paraId="129A4164" w14:textId="0BD161E4" w:rsidR="00DB163D" w:rsidRPr="000A145F" w:rsidRDefault="00DB163D" w:rsidP="00DB163D">
            <w:pPr>
              <w:rPr>
                <w:rFonts w:cs="Arial"/>
                <w:sz w:val="20"/>
              </w:rPr>
            </w:pPr>
            <w:r>
              <w:rPr>
                <w:rFonts w:cs="Arial"/>
                <w:sz w:val="20"/>
              </w:rPr>
              <w:t>Kyle</w:t>
            </w:r>
          </w:p>
        </w:tc>
      </w:tr>
      <w:tr w:rsidR="00DB163D" w:rsidRPr="000A145F" w14:paraId="559D8110" w14:textId="252EE56E" w:rsidTr="00643A98">
        <w:trPr>
          <w:trHeight w:val="339"/>
          <w:jc w:val="center"/>
        </w:trPr>
        <w:tc>
          <w:tcPr>
            <w:tcW w:w="1255" w:type="dxa"/>
            <w:vAlign w:val="center"/>
          </w:tcPr>
          <w:p w14:paraId="41B4F165" w14:textId="5AAC2738" w:rsidR="00DB163D" w:rsidRPr="000A145F" w:rsidRDefault="00DB163D" w:rsidP="00DB163D">
            <w:pPr>
              <w:rPr>
                <w:rFonts w:cs="Arial"/>
                <w:sz w:val="20"/>
              </w:rPr>
            </w:pPr>
            <w:r>
              <w:rPr>
                <w:rFonts w:cs="Arial"/>
                <w:sz w:val="20"/>
              </w:rPr>
              <w:t>1445-1530</w:t>
            </w:r>
          </w:p>
        </w:tc>
        <w:tc>
          <w:tcPr>
            <w:tcW w:w="6478" w:type="dxa"/>
            <w:vAlign w:val="center"/>
          </w:tcPr>
          <w:p w14:paraId="13246084" w14:textId="6ABAEE33" w:rsidR="00DB163D" w:rsidRPr="000A145F" w:rsidRDefault="00DB163D" w:rsidP="00DB163D">
            <w:r>
              <w:t>Presentation of Ken’s thesis (See abstract below)</w:t>
            </w:r>
          </w:p>
        </w:tc>
        <w:tc>
          <w:tcPr>
            <w:tcW w:w="2311" w:type="dxa"/>
            <w:vAlign w:val="center"/>
          </w:tcPr>
          <w:p w14:paraId="75975A3A" w14:textId="2F20F005" w:rsidR="00DB163D" w:rsidRPr="000A145F" w:rsidRDefault="00DB163D" w:rsidP="00DB163D">
            <w:r>
              <w:t>Ken</w:t>
            </w:r>
          </w:p>
        </w:tc>
      </w:tr>
      <w:tr w:rsidR="00DB163D" w:rsidRPr="006F609B" w14:paraId="30483E1C" w14:textId="77777777" w:rsidTr="00A5282B">
        <w:trPr>
          <w:trHeight w:val="339"/>
          <w:jc w:val="center"/>
        </w:trPr>
        <w:tc>
          <w:tcPr>
            <w:tcW w:w="1255" w:type="dxa"/>
            <w:vAlign w:val="center"/>
          </w:tcPr>
          <w:p w14:paraId="166D26B2" w14:textId="20510C1F" w:rsidR="00DB163D" w:rsidRPr="006F609B" w:rsidRDefault="00DB163D" w:rsidP="00DB163D">
            <w:pPr>
              <w:rPr>
                <w:rFonts w:cs="Arial"/>
                <w:sz w:val="20"/>
              </w:rPr>
            </w:pPr>
            <w:r>
              <w:rPr>
                <w:rFonts w:cs="Arial"/>
                <w:sz w:val="20"/>
              </w:rPr>
              <w:t>1530</w:t>
            </w:r>
          </w:p>
        </w:tc>
        <w:tc>
          <w:tcPr>
            <w:tcW w:w="6478" w:type="dxa"/>
            <w:vAlign w:val="center"/>
          </w:tcPr>
          <w:p w14:paraId="74723302" w14:textId="0F696DF6" w:rsidR="00DB163D" w:rsidRPr="000A145F" w:rsidRDefault="00DB163D" w:rsidP="00DB163D">
            <w:pPr>
              <w:pStyle w:val="FieldText"/>
              <w:rPr>
                <w:rFonts w:cs="Arial"/>
                <w:sz w:val="20"/>
              </w:rPr>
            </w:pPr>
            <w:r>
              <w:rPr>
                <w:sz w:val="20"/>
              </w:rPr>
              <w:t>Adjourn</w:t>
            </w:r>
          </w:p>
        </w:tc>
        <w:tc>
          <w:tcPr>
            <w:tcW w:w="2311" w:type="dxa"/>
            <w:vAlign w:val="center"/>
          </w:tcPr>
          <w:p w14:paraId="5C1BC458" w14:textId="77777777" w:rsidR="00DB163D" w:rsidRPr="006F609B" w:rsidRDefault="00DB163D" w:rsidP="00DB163D">
            <w:pPr>
              <w:rPr>
                <w:rFonts w:cs="Arial"/>
                <w:sz w:val="20"/>
              </w:rPr>
            </w:pPr>
          </w:p>
        </w:tc>
      </w:tr>
    </w:tbl>
    <w:p w14:paraId="5848115E" w14:textId="77777777" w:rsidR="00DB163D" w:rsidRDefault="00DB163D" w:rsidP="00FC1916">
      <w:pPr>
        <w:rPr>
          <w:szCs w:val="19"/>
        </w:rPr>
      </w:pPr>
    </w:p>
    <w:p w14:paraId="443E360D" w14:textId="77777777" w:rsidR="00DB163D" w:rsidRPr="00DB163D" w:rsidRDefault="00DB163D" w:rsidP="00DB163D">
      <w:pPr>
        <w:shd w:val="clear" w:color="auto" w:fill="FFFFFF"/>
        <w:rPr>
          <w:rFonts w:cs="Arial"/>
          <w:color w:val="222222"/>
          <w:szCs w:val="19"/>
        </w:rPr>
      </w:pPr>
      <w:r w:rsidRPr="00DB163D">
        <w:rPr>
          <w:rFonts w:cs="Arial"/>
          <w:color w:val="000000"/>
          <w:szCs w:val="19"/>
        </w:rPr>
        <w:t xml:space="preserve">High </w:t>
      </w:r>
      <w:proofErr w:type="spellStart"/>
      <w:r w:rsidRPr="00DB163D">
        <w:rPr>
          <w:rFonts w:cs="Arial"/>
          <w:color w:val="000000"/>
          <w:szCs w:val="19"/>
        </w:rPr>
        <w:t>interannual</w:t>
      </w:r>
      <w:proofErr w:type="spellEnd"/>
      <w:r w:rsidRPr="00DB163D">
        <w:rPr>
          <w:rFonts w:cs="Arial"/>
          <w:color w:val="000000"/>
          <w:szCs w:val="19"/>
        </w:rPr>
        <w:t xml:space="preserve"> variability in abundance of adult Chinook salmon (</w:t>
      </w:r>
      <w:proofErr w:type="spellStart"/>
      <w:r w:rsidRPr="00DB163D">
        <w:rPr>
          <w:rFonts w:cs="Arial"/>
          <w:i/>
          <w:iCs/>
          <w:color w:val="000000"/>
          <w:szCs w:val="19"/>
        </w:rPr>
        <w:t>Oncorhynchus</w:t>
      </w:r>
      <w:proofErr w:type="spellEnd"/>
      <w:r w:rsidRPr="00DB163D">
        <w:rPr>
          <w:rFonts w:cs="Arial"/>
          <w:i/>
          <w:iCs/>
          <w:color w:val="000000"/>
          <w:szCs w:val="19"/>
        </w:rPr>
        <w:t xml:space="preserve"> </w:t>
      </w:r>
      <w:proofErr w:type="spellStart"/>
      <w:r w:rsidRPr="00DB163D">
        <w:rPr>
          <w:rFonts w:cs="Arial"/>
          <w:i/>
          <w:iCs/>
          <w:color w:val="000000"/>
          <w:szCs w:val="19"/>
        </w:rPr>
        <w:t>tshawytscha</w:t>
      </w:r>
      <w:proofErr w:type="spellEnd"/>
      <w:r w:rsidRPr="00DB163D">
        <w:rPr>
          <w:rFonts w:cs="Arial"/>
          <w:color w:val="000000"/>
          <w:szCs w:val="19"/>
        </w:rPr>
        <w:t>) presents challenges to fishery managers in developing reliable predictive models of abundance. Variability in adult abundance is strongly dependent on survival during the marine life history phase, and especially during the early marine residency of juveniles.</w:t>
      </w:r>
    </w:p>
    <w:p w14:paraId="21AC7235" w14:textId="77777777" w:rsidR="00DB163D" w:rsidRPr="00DB163D" w:rsidRDefault="00DB163D" w:rsidP="00DB163D">
      <w:pPr>
        <w:shd w:val="clear" w:color="auto" w:fill="FFFFFF"/>
        <w:rPr>
          <w:rFonts w:cs="Arial"/>
          <w:color w:val="222222"/>
          <w:szCs w:val="19"/>
        </w:rPr>
      </w:pPr>
      <w:r w:rsidRPr="00DB163D">
        <w:rPr>
          <w:rFonts w:cs="Arial"/>
          <w:color w:val="000000"/>
          <w:szCs w:val="19"/>
        </w:rPr>
        <w:t> </w:t>
      </w:r>
    </w:p>
    <w:p w14:paraId="6FA61ACA" w14:textId="77777777" w:rsidR="00DB163D" w:rsidRPr="00DB163D" w:rsidRDefault="00DB163D" w:rsidP="00DB163D">
      <w:pPr>
        <w:shd w:val="clear" w:color="auto" w:fill="FFFFFF"/>
        <w:rPr>
          <w:rFonts w:cs="Arial"/>
          <w:color w:val="222222"/>
          <w:szCs w:val="19"/>
        </w:rPr>
      </w:pPr>
      <w:r w:rsidRPr="00DB163D">
        <w:rPr>
          <w:rFonts w:cs="Arial"/>
          <w:color w:val="000000"/>
          <w:szCs w:val="19"/>
        </w:rPr>
        <w:t xml:space="preserve">The present study evaluated 28 years of estimated first-year marine survival rates for Chinook salmon released from Klamath-Trinity River (KT) hatcheries to identify individual oceanographic and atmospheric covariates that may be related to survival, and to identify periods within that first year that most strongly affect survival. Survival rates of </w:t>
      </w:r>
      <w:proofErr w:type="spellStart"/>
      <w:r w:rsidRPr="00DB163D">
        <w:rPr>
          <w:rFonts w:cs="Arial"/>
          <w:color w:val="000000"/>
          <w:szCs w:val="19"/>
        </w:rPr>
        <w:t>subyearlings</w:t>
      </w:r>
      <w:proofErr w:type="spellEnd"/>
      <w:r w:rsidRPr="00DB163D">
        <w:rPr>
          <w:rFonts w:cs="Arial"/>
          <w:color w:val="000000"/>
          <w:szCs w:val="19"/>
        </w:rPr>
        <w:t xml:space="preserve"> released from KT hatcheries at two different times each year (fingerlings in June, “yearlings” in October) were evaluated independently. Predictive models of survival were constructed using beta-binomial logistic regression and model performances were assessed in a two-phase analysis using </w:t>
      </w:r>
      <w:proofErr w:type="spellStart"/>
      <w:r w:rsidRPr="00DB163D">
        <w:rPr>
          <w:rFonts w:cs="Arial"/>
          <w:color w:val="000000"/>
          <w:szCs w:val="19"/>
        </w:rPr>
        <w:t>AICc</w:t>
      </w:r>
      <w:proofErr w:type="spellEnd"/>
      <w:r w:rsidRPr="00DB163D">
        <w:rPr>
          <w:rFonts w:cs="Arial"/>
          <w:color w:val="000000"/>
          <w:szCs w:val="19"/>
        </w:rPr>
        <w:t xml:space="preserve">. The predictive ability of </w:t>
      </w:r>
      <w:proofErr w:type="spellStart"/>
      <w:r w:rsidRPr="00DB163D">
        <w:rPr>
          <w:rFonts w:cs="Arial"/>
          <w:color w:val="000000"/>
          <w:szCs w:val="19"/>
        </w:rPr>
        <w:t>AICc</w:t>
      </w:r>
      <w:proofErr w:type="spellEnd"/>
      <w:r w:rsidRPr="00DB163D">
        <w:rPr>
          <w:rFonts w:cs="Arial"/>
          <w:color w:val="000000"/>
          <w:szCs w:val="19"/>
        </w:rPr>
        <w:t>-based top models was evaluated by assessing the proportion of predicted survival rates falling within 95% parametric bootstrap prediction intervals for two out-of-sample brood years.</w:t>
      </w:r>
    </w:p>
    <w:p w14:paraId="525EB8C8" w14:textId="77777777" w:rsidR="00DB163D" w:rsidRPr="00DB163D" w:rsidRDefault="00DB163D" w:rsidP="00DB163D">
      <w:pPr>
        <w:shd w:val="clear" w:color="auto" w:fill="FFFFFF"/>
        <w:rPr>
          <w:rFonts w:cs="Arial"/>
          <w:color w:val="222222"/>
          <w:szCs w:val="19"/>
        </w:rPr>
      </w:pPr>
      <w:r w:rsidRPr="00DB163D">
        <w:rPr>
          <w:rFonts w:cs="Arial"/>
          <w:color w:val="000000"/>
          <w:szCs w:val="19"/>
        </w:rPr>
        <w:t> </w:t>
      </w:r>
    </w:p>
    <w:p w14:paraId="16E3C52C" w14:textId="77777777" w:rsidR="00DB163D" w:rsidRPr="00DB163D" w:rsidRDefault="00DB163D" w:rsidP="00DB163D">
      <w:pPr>
        <w:shd w:val="clear" w:color="auto" w:fill="FFFFFF"/>
        <w:rPr>
          <w:rFonts w:cs="Arial"/>
          <w:color w:val="222222"/>
          <w:szCs w:val="19"/>
        </w:rPr>
      </w:pPr>
      <w:r w:rsidRPr="00DB163D">
        <w:rPr>
          <w:rFonts w:cs="Arial"/>
          <w:color w:val="000000"/>
          <w:szCs w:val="19"/>
        </w:rPr>
        <w:t xml:space="preserve">Marine survival of KT Chinook salmon was positively related to the Pacific Decadal Oscillation (PDO), which stands in contrast to all previous work linking the PDO to marine survival of Pacific salmonids. However, KT Chinook salmon appear to respond to El Niño and La Niña conditions in kind with other Pacific salmonids. Winter preconditioning, and conditions encountered during the periods of ocean entrance and the first winter at sea were found to strongly affect survival of fingerings; conditions encountered during the first winter at sea and the following spring were found to strongly affect survival of yearlings. Mixed layer depth was consistently more related to survival of both fingerlings and yearlings than was coastal boundary upwelling. The ability of </w:t>
      </w:r>
      <w:proofErr w:type="spellStart"/>
      <w:r w:rsidRPr="00DB163D">
        <w:rPr>
          <w:rFonts w:cs="Arial"/>
          <w:color w:val="000000"/>
          <w:szCs w:val="19"/>
        </w:rPr>
        <w:t>AICc</w:t>
      </w:r>
      <w:proofErr w:type="spellEnd"/>
      <w:r w:rsidRPr="00DB163D">
        <w:rPr>
          <w:rFonts w:cs="Arial"/>
          <w:color w:val="000000"/>
          <w:szCs w:val="19"/>
        </w:rPr>
        <w:t>-based top models to predict survival rates beyond the data used to fit models for both fingerlings and yearlings was unsatisfactory, and may not provide an adequate basis for prediction in a practical management setting. Regardless, these analyses provide important new insights concerning the most influential oceanographic factors affecting early marine survival of an important population of Chinook salmon in California.</w:t>
      </w:r>
    </w:p>
    <w:p w14:paraId="5FCF3663" w14:textId="77777777" w:rsidR="00DB163D" w:rsidRPr="0011659F" w:rsidRDefault="00DB163D" w:rsidP="00FC1916">
      <w:pPr>
        <w:rPr>
          <w:szCs w:val="19"/>
        </w:rPr>
      </w:pPr>
    </w:p>
    <w:sectPr w:rsidR="00DB163D" w:rsidRPr="0011659F" w:rsidSect="001A53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CF86ED" w14:textId="77777777" w:rsidR="00B50CF3" w:rsidRDefault="00B50CF3" w:rsidP="00A10468">
      <w:r>
        <w:separator/>
      </w:r>
    </w:p>
  </w:endnote>
  <w:endnote w:type="continuationSeparator" w:id="0">
    <w:p w14:paraId="41754CA4" w14:textId="77777777" w:rsidR="00B50CF3" w:rsidRDefault="00B50CF3"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D913F" w14:textId="77777777" w:rsidR="00B3356A" w:rsidRDefault="00B335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AFA37" w14:textId="77777777" w:rsidR="00B3356A" w:rsidRDefault="00B335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3E67D" w14:textId="77777777" w:rsidR="00B3356A" w:rsidRDefault="00B335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3884CD" w14:textId="77777777" w:rsidR="00B50CF3" w:rsidRDefault="00B50CF3" w:rsidP="00A10468">
      <w:r>
        <w:separator/>
      </w:r>
    </w:p>
  </w:footnote>
  <w:footnote w:type="continuationSeparator" w:id="0">
    <w:p w14:paraId="3313353C" w14:textId="77777777" w:rsidR="00B50CF3" w:rsidRDefault="00B50CF3"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F0883" w14:textId="77777777" w:rsidR="00B3356A" w:rsidRDefault="00B335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79D9B" w14:textId="77777777" w:rsidR="00B3356A" w:rsidRDefault="00B335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48C56" w14:textId="77777777" w:rsidR="00B3356A" w:rsidRDefault="00B335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6"/>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1"/>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74F"/>
    <w:rsid w:val="00001EC0"/>
    <w:rsid w:val="00030366"/>
    <w:rsid w:val="0004644A"/>
    <w:rsid w:val="0005453B"/>
    <w:rsid w:val="00055B69"/>
    <w:rsid w:val="000646E4"/>
    <w:rsid w:val="000670D0"/>
    <w:rsid w:val="000736FC"/>
    <w:rsid w:val="0007530A"/>
    <w:rsid w:val="00084727"/>
    <w:rsid w:val="00087535"/>
    <w:rsid w:val="00091E27"/>
    <w:rsid w:val="000A145F"/>
    <w:rsid w:val="000A1BC9"/>
    <w:rsid w:val="000A57A8"/>
    <w:rsid w:val="000A77EE"/>
    <w:rsid w:val="000C60C9"/>
    <w:rsid w:val="000E0977"/>
    <w:rsid w:val="000F188A"/>
    <w:rsid w:val="00102030"/>
    <w:rsid w:val="0011659F"/>
    <w:rsid w:val="00143711"/>
    <w:rsid w:val="001469D5"/>
    <w:rsid w:val="00151DC2"/>
    <w:rsid w:val="001624B6"/>
    <w:rsid w:val="00165616"/>
    <w:rsid w:val="0017591A"/>
    <w:rsid w:val="00193282"/>
    <w:rsid w:val="001A5353"/>
    <w:rsid w:val="001A6293"/>
    <w:rsid w:val="001B7F28"/>
    <w:rsid w:val="001C0167"/>
    <w:rsid w:val="001C0794"/>
    <w:rsid w:val="001D1CCD"/>
    <w:rsid w:val="001E2B67"/>
    <w:rsid w:val="001E400F"/>
    <w:rsid w:val="001F3CCC"/>
    <w:rsid w:val="00206606"/>
    <w:rsid w:val="002128C4"/>
    <w:rsid w:val="002219F2"/>
    <w:rsid w:val="0022651B"/>
    <w:rsid w:val="00232DB1"/>
    <w:rsid w:val="002454D7"/>
    <w:rsid w:val="002729C5"/>
    <w:rsid w:val="002952E3"/>
    <w:rsid w:val="002C3A7F"/>
    <w:rsid w:val="002D0A91"/>
    <w:rsid w:val="002D731C"/>
    <w:rsid w:val="002E0A4F"/>
    <w:rsid w:val="002E3BF6"/>
    <w:rsid w:val="002F1A9B"/>
    <w:rsid w:val="002F5159"/>
    <w:rsid w:val="003009B7"/>
    <w:rsid w:val="00301F77"/>
    <w:rsid w:val="003221E6"/>
    <w:rsid w:val="00353AE3"/>
    <w:rsid w:val="0037567B"/>
    <w:rsid w:val="0037651B"/>
    <w:rsid w:val="003838DF"/>
    <w:rsid w:val="003A2D62"/>
    <w:rsid w:val="003B77AF"/>
    <w:rsid w:val="003E6109"/>
    <w:rsid w:val="00416A00"/>
    <w:rsid w:val="00423473"/>
    <w:rsid w:val="00423D32"/>
    <w:rsid w:val="00427AF2"/>
    <w:rsid w:val="00441424"/>
    <w:rsid w:val="00446CA3"/>
    <w:rsid w:val="00464696"/>
    <w:rsid w:val="00470C6D"/>
    <w:rsid w:val="004722C2"/>
    <w:rsid w:val="004A3E69"/>
    <w:rsid w:val="004C2B90"/>
    <w:rsid w:val="004E2A60"/>
    <w:rsid w:val="004E32AC"/>
    <w:rsid w:val="00502EB7"/>
    <w:rsid w:val="00503381"/>
    <w:rsid w:val="005419EF"/>
    <w:rsid w:val="00566395"/>
    <w:rsid w:val="00577907"/>
    <w:rsid w:val="0058364F"/>
    <w:rsid w:val="00586E60"/>
    <w:rsid w:val="00591FC8"/>
    <w:rsid w:val="00593DB3"/>
    <w:rsid w:val="005B3810"/>
    <w:rsid w:val="005B4CBF"/>
    <w:rsid w:val="005B5C3D"/>
    <w:rsid w:val="005C1492"/>
    <w:rsid w:val="005E228A"/>
    <w:rsid w:val="005E6DE8"/>
    <w:rsid w:val="005F2E38"/>
    <w:rsid w:val="00605FF0"/>
    <w:rsid w:val="006136D8"/>
    <w:rsid w:val="00613998"/>
    <w:rsid w:val="00615230"/>
    <w:rsid w:val="00643A98"/>
    <w:rsid w:val="00643CF1"/>
    <w:rsid w:val="0065399B"/>
    <w:rsid w:val="006606B0"/>
    <w:rsid w:val="00661F55"/>
    <w:rsid w:val="0066324B"/>
    <w:rsid w:val="0068615C"/>
    <w:rsid w:val="00687369"/>
    <w:rsid w:val="006B414C"/>
    <w:rsid w:val="006C0AD8"/>
    <w:rsid w:val="006C1706"/>
    <w:rsid w:val="006D1380"/>
    <w:rsid w:val="006D76C6"/>
    <w:rsid w:val="006E3726"/>
    <w:rsid w:val="006E5319"/>
    <w:rsid w:val="006F01BD"/>
    <w:rsid w:val="006F45B1"/>
    <w:rsid w:val="006F609B"/>
    <w:rsid w:val="00712EB0"/>
    <w:rsid w:val="00717AEF"/>
    <w:rsid w:val="007233B6"/>
    <w:rsid w:val="00727D9C"/>
    <w:rsid w:val="00745AC3"/>
    <w:rsid w:val="0076009D"/>
    <w:rsid w:val="007629CB"/>
    <w:rsid w:val="00762B4C"/>
    <w:rsid w:val="0077440D"/>
    <w:rsid w:val="007770C1"/>
    <w:rsid w:val="0078327A"/>
    <w:rsid w:val="00783EDA"/>
    <w:rsid w:val="007A2EED"/>
    <w:rsid w:val="007A374F"/>
    <w:rsid w:val="007A5BEC"/>
    <w:rsid w:val="007B40CF"/>
    <w:rsid w:val="007C0535"/>
    <w:rsid w:val="007C635C"/>
    <w:rsid w:val="007C7456"/>
    <w:rsid w:val="007D3379"/>
    <w:rsid w:val="007F2141"/>
    <w:rsid w:val="007F59B8"/>
    <w:rsid w:val="00800484"/>
    <w:rsid w:val="00806411"/>
    <w:rsid w:val="008225F4"/>
    <w:rsid w:val="00851651"/>
    <w:rsid w:val="0086110A"/>
    <w:rsid w:val="00861694"/>
    <w:rsid w:val="00870BAB"/>
    <w:rsid w:val="008757B8"/>
    <w:rsid w:val="0089005C"/>
    <w:rsid w:val="00890C32"/>
    <w:rsid w:val="00892631"/>
    <w:rsid w:val="008944F5"/>
    <w:rsid w:val="0089599F"/>
    <w:rsid w:val="00897819"/>
    <w:rsid w:val="008A7CC7"/>
    <w:rsid w:val="008B7AAE"/>
    <w:rsid w:val="008E3E12"/>
    <w:rsid w:val="008E4F3C"/>
    <w:rsid w:val="008F13C6"/>
    <w:rsid w:val="00906146"/>
    <w:rsid w:val="00906909"/>
    <w:rsid w:val="00913AF0"/>
    <w:rsid w:val="009140F8"/>
    <w:rsid w:val="00915D7F"/>
    <w:rsid w:val="0091798C"/>
    <w:rsid w:val="00922960"/>
    <w:rsid w:val="00976234"/>
    <w:rsid w:val="00981DFA"/>
    <w:rsid w:val="0098263C"/>
    <w:rsid w:val="009949F5"/>
    <w:rsid w:val="009967A2"/>
    <w:rsid w:val="009B40BB"/>
    <w:rsid w:val="009B7B8B"/>
    <w:rsid w:val="009C2546"/>
    <w:rsid w:val="009D1314"/>
    <w:rsid w:val="009D3AF5"/>
    <w:rsid w:val="009E2DF1"/>
    <w:rsid w:val="009F5551"/>
    <w:rsid w:val="009F7BA1"/>
    <w:rsid w:val="00A10468"/>
    <w:rsid w:val="00A313C5"/>
    <w:rsid w:val="00A351E1"/>
    <w:rsid w:val="00A4384E"/>
    <w:rsid w:val="00A43924"/>
    <w:rsid w:val="00A5282B"/>
    <w:rsid w:val="00A5567D"/>
    <w:rsid w:val="00AB34E2"/>
    <w:rsid w:val="00AD5593"/>
    <w:rsid w:val="00B018D2"/>
    <w:rsid w:val="00B07CC8"/>
    <w:rsid w:val="00B10C2D"/>
    <w:rsid w:val="00B11962"/>
    <w:rsid w:val="00B269A1"/>
    <w:rsid w:val="00B32572"/>
    <w:rsid w:val="00B3356A"/>
    <w:rsid w:val="00B44B96"/>
    <w:rsid w:val="00B464E7"/>
    <w:rsid w:val="00B50CF3"/>
    <w:rsid w:val="00B60F10"/>
    <w:rsid w:val="00B64484"/>
    <w:rsid w:val="00B71277"/>
    <w:rsid w:val="00BB0FD7"/>
    <w:rsid w:val="00BB643E"/>
    <w:rsid w:val="00BD6217"/>
    <w:rsid w:val="00C07B62"/>
    <w:rsid w:val="00C149E8"/>
    <w:rsid w:val="00C1685D"/>
    <w:rsid w:val="00C54504"/>
    <w:rsid w:val="00C548F4"/>
    <w:rsid w:val="00C810C9"/>
    <w:rsid w:val="00C84FC9"/>
    <w:rsid w:val="00CB0411"/>
    <w:rsid w:val="00CB5510"/>
    <w:rsid w:val="00CB6F0A"/>
    <w:rsid w:val="00CC4D4F"/>
    <w:rsid w:val="00CD00A9"/>
    <w:rsid w:val="00CD0499"/>
    <w:rsid w:val="00CF6389"/>
    <w:rsid w:val="00D06FA0"/>
    <w:rsid w:val="00D117EF"/>
    <w:rsid w:val="00D147C2"/>
    <w:rsid w:val="00D17071"/>
    <w:rsid w:val="00D32455"/>
    <w:rsid w:val="00D3245C"/>
    <w:rsid w:val="00D3265B"/>
    <w:rsid w:val="00D328C4"/>
    <w:rsid w:val="00D36C35"/>
    <w:rsid w:val="00D3712E"/>
    <w:rsid w:val="00D42603"/>
    <w:rsid w:val="00D515A3"/>
    <w:rsid w:val="00D5658C"/>
    <w:rsid w:val="00D82521"/>
    <w:rsid w:val="00D87BCB"/>
    <w:rsid w:val="00DA1C9A"/>
    <w:rsid w:val="00DA2B83"/>
    <w:rsid w:val="00DA482E"/>
    <w:rsid w:val="00DA6416"/>
    <w:rsid w:val="00DB163D"/>
    <w:rsid w:val="00DC2E46"/>
    <w:rsid w:val="00DD3023"/>
    <w:rsid w:val="00DE2FF8"/>
    <w:rsid w:val="00DE310C"/>
    <w:rsid w:val="00DF57E3"/>
    <w:rsid w:val="00E03332"/>
    <w:rsid w:val="00E238F9"/>
    <w:rsid w:val="00E24485"/>
    <w:rsid w:val="00E35447"/>
    <w:rsid w:val="00E361B7"/>
    <w:rsid w:val="00E5115C"/>
    <w:rsid w:val="00E54F57"/>
    <w:rsid w:val="00E56844"/>
    <w:rsid w:val="00E634A4"/>
    <w:rsid w:val="00E76E84"/>
    <w:rsid w:val="00E76F85"/>
    <w:rsid w:val="00E8491D"/>
    <w:rsid w:val="00EA5A16"/>
    <w:rsid w:val="00EA5DA8"/>
    <w:rsid w:val="00EA63B4"/>
    <w:rsid w:val="00EC293F"/>
    <w:rsid w:val="00EC4B72"/>
    <w:rsid w:val="00ED52F0"/>
    <w:rsid w:val="00EE7D27"/>
    <w:rsid w:val="00EF193C"/>
    <w:rsid w:val="00EF2D27"/>
    <w:rsid w:val="00EF4DBC"/>
    <w:rsid w:val="00F04091"/>
    <w:rsid w:val="00F040DA"/>
    <w:rsid w:val="00F076E2"/>
    <w:rsid w:val="00F20A84"/>
    <w:rsid w:val="00F32279"/>
    <w:rsid w:val="00F44B52"/>
    <w:rsid w:val="00F53209"/>
    <w:rsid w:val="00F622C2"/>
    <w:rsid w:val="00F73395"/>
    <w:rsid w:val="00F73D98"/>
    <w:rsid w:val="00F8069A"/>
    <w:rsid w:val="00F8135B"/>
    <w:rsid w:val="00F856D3"/>
    <w:rsid w:val="00F87ED6"/>
    <w:rsid w:val="00F92559"/>
    <w:rsid w:val="00FC1916"/>
    <w:rsid w:val="00FF028F"/>
    <w:rsid w:val="00FF6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0DBFC"/>
  <w15:docId w15:val="{9342E230-5EE3-47CA-A8F2-5D4969164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semiHidden/>
    <w:unhideWhenUsed/>
    <w:rsid w:val="007770C1"/>
    <w:rPr>
      <w:color w:val="0000FF"/>
      <w:u w:val="single"/>
    </w:rPr>
  </w:style>
  <w:style w:type="character" w:styleId="CommentReference">
    <w:name w:val="annotation reference"/>
    <w:basedOn w:val="DefaultParagraphFont"/>
    <w:uiPriority w:val="99"/>
    <w:semiHidden/>
    <w:unhideWhenUsed/>
    <w:rsid w:val="006E3726"/>
    <w:rPr>
      <w:sz w:val="16"/>
      <w:szCs w:val="16"/>
    </w:rPr>
  </w:style>
  <w:style w:type="paragraph" w:styleId="CommentText">
    <w:name w:val="annotation text"/>
    <w:basedOn w:val="Normal"/>
    <w:link w:val="CommentTextChar"/>
    <w:uiPriority w:val="99"/>
    <w:semiHidden/>
    <w:unhideWhenUsed/>
    <w:rsid w:val="006E3726"/>
    <w:rPr>
      <w:sz w:val="20"/>
    </w:rPr>
  </w:style>
  <w:style w:type="character" w:customStyle="1" w:styleId="CommentTextChar">
    <w:name w:val="Comment Text Char"/>
    <w:basedOn w:val="DefaultParagraphFont"/>
    <w:link w:val="CommentText"/>
    <w:uiPriority w:val="99"/>
    <w:semiHidden/>
    <w:rsid w:val="006E3726"/>
    <w:rPr>
      <w:rFonts w:ascii="Arial" w:eastAsia="Times New Roman" w:hAnsi="Arial"/>
    </w:rPr>
  </w:style>
  <w:style w:type="paragraph" w:styleId="CommentSubject">
    <w:name w:val="annotation subject"/>
    <w:basedOn w:val="CommentText"/>
    <w:next w:val="CommentText"/>
    <w:link w:val="CommentSubjectChar"/>
    <w:uiPriority w:val="99"/>
    <w:semiHidden/>
    <w:unhideWhenUsed/>
    <w:rsid w:val="006E3726"/>
    <w:rPr>
      <w:b/>
      <w:bCs/>
    </w:rPr>
  </w:style>
  <w:style w:type="character" w:customStyle="1" w:styleId="CommentSubjectChar">
    <w:name w:val="Comment Subject Char"/>
    <w:basedOn w:val="CommentTextChar"/>
    <w:link w:val="CommentSubject"/>
    <w:uiPriority w:val="99"/>
    <w:semiHidden/>
    <w:rsid w:val="006E3726"/>
    <w:rPr>
      <w:rFonts w:ascii="Arial" w:eastAsia="Times New Roman"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184698">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A14E5-23B7-4F3B-964C-2A821B928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3207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BOR</dc:creator>
  <cp:lastModifiedBy>Buxton, Todd H</cp:lastModifiedBy>
  <cp:revision>5</cp:revision>
  <cp:lastPrinted>2010-10-25T23:05:00Z</cp:lastPrinted>
  <dcterms:created xsi:type="dcterms:W3CDTF">2017-03-24T16:08:00Z</dcterms:created>
  <dcterms:modified xsi:type="dcterms:W3CDTF">2017-03-24T17:24:00Z</dcterms:modified>
</cp:coreProperties>
</file>