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4B6" w:rsidRDefault="00C964B6">
      <w:pPr>
        <w:pStyle w:val="DocumentLabel"/>
      </w:pPr>
      <w:r>
        <w:t>PHYSICAL WORKGROUP TECHNICAL memorandum</w:t>
      </w:r>
    </w:p>
    <w:p w:rsidR="00C964B6" w:rsidRDefault="00C964B6">
      <w:pPr>
        <w:pStyle w:val="MessageHeaderFirst"/>
      </w:pPr>
      <w:r>
        <w:rPr>
          <w:rStyle w:val="MessageHeaderLabel"/>
        </w:rPr>
        <w:t>to:</w:t>
      </w:r>
      <w:r>
        <w:tab/>
        <w:t>Ernie Clarke, TRRP Science coordinator</w:t>
      </w:r>
    </w:p>
    <w:p w:rsidR="00C964B6" w:rsidRDefault="00C964B6">
      <w:pPr>
        <w:pStyle w:val="MessageHeader"/>
      </w:pPr>
      <w:r>
        <w:rPr>
          <w:rStyle w:val="MessageHeaderLabel"/>
        </w:rPr>
        <w:t>from:</w:t>
      </w:r>
      <w:r>
        <w:tab/>
        <w:t>andrea davis, chair of physical workgroup</w:t>
      </w:r>
    </w:p>
    <w:p w:rsidR="00C964B6" w:rsidRDefault="00C964B6">
      <w:pPr>
        <w:pStyle w:val="MessageHeader"/>
      </w:pPr>
      <w:r>
        <w:rPr>
          <w:rStyle w:val="MessageHeaderLabel"/>
        </w:rPr>
        <w:t>subject:</w:t>
      </w:r>
      <w:r>
        <w:tab/>
        <w:t xml:space="preserve">2012 </w:t>
      </w:r>
      <w:proofErr w:type="gramStart"/>
      <w:r>
        <w:t>coarse</w:t>
      </w:r>
      <w:proofErr w:type="gramEnd"/>
      <w:r>
        <w:t xml:space="preserve"> sediment augmentation recommendations</w:t>
      </w:r>
    </w:p>
    <w:p w:rsidR="00C964B6" w:rsidRDefault="00C964B6">
      <w:pPr>
        <w:pStyle w:val="MessageHeader"/>
      </w:pPr>
      <w:r>
        <w:rPr>
          <w:rStyle w:val="MessageHeaderLabel"/>
        </w:rPr>
        <w:t>date:</w:t>
      </w:r>
      <w:r>
        <w:tab/>
      </w:r>
      <w:fldSimple w:instr=" DATE \* MERGEFORMAT ">
        <w:r w:rsidR="00710A92">
          <w:rPr>
            <w:noProof/>
          </w:rPr>
          <w:t>2/2/2012</w:t>
        </w:r>
      </w:fldSimple>
    </w:p>
    <w:p w:rsidR="00C964B6" w:rsidRDefault="00C964B6" w:rsidP="003E6D67">
      <w:pPr>
        <w:pStyle w:val="MessageHeaderLast"/>
        <w:spacing w:after="120"/>
      </w:pPr>
      <w:r>
        <w:rPr>
          <w:rStyle w:val="MessageHeaderLabel"/>
        </w:rPr>
        <w:t>cc:</w:t>
      </w:r>
      <w:r>
        <w:tab/>
      </w:r>
    </w:p>
    <w:p w:rsidR="00FB726B" w:rsidRDefault="00C964B6" w:rsidP="009F2238">
      <w:pPr>
        <w:pStyle w:val="BodyText"/>
        <w:ind w:firstLine="0"/>
        <w:jc w:val="left"/>
      </w:pPr>
      <w:r>
        <w:t xml:space="preserve">On Wednesday, January 25, the TRRP Science Coordinator requested that the Physical Workgroup discuss and recommend whether or not to proceed with coarse sediment augmentation for 2012 based on directives from the ROD, recent studies and analyses, and review of preliminary results from 2011 </w:t>
      </w:r>
      <w:r w:rsidR="00BE3B65">
        <w:t>field data gathering</w:t>
      </w:r>
      <w:r>
        <w:t>. The following summarizes those deliberations and provides a recommendation for coarse sediment management for 2012.</w:t>
      </w:r>
    </w:p>
    <w:p w:rsidR="009F2238" w:rsidRDefault="009F2238" w:rsidP="009F2238">
      <w:pPr>
        <w:pStyle w:val="Heading1"/>
        <w:jc w:val="left"/>
      </w:pPr>
      <w:r>
        <w:t>Background</w:t>
      </w:r>
    </w:p>
    <w:p w:rsidR="00BE3B65" w:rsidRDefault="00C964B6" w:rsidP="003E6D67">
      <w:pPr>
        <w:pStyle w:val="BodyText"/>
        <w:spacing w:after="120"/>
        <w:ind w:firstLine="0"/>
        <w:jc w:val="left"/>
      </w:pPr>
      <w:r>
        <w:t xml:space="preserve">The Trinity River Flow Evaluation Study Final Report (TRFEFR) recommends two forms of coarse sediment management: (1) a short-term </w:t>
      </w:r>
      <w:r w:rsidR="004C17FE">
        <w:t xml:space="preserve">supplementation that quickly increases storage immediately downstream of Lewiston Dam, and (2) long-term annual coarse sediment introduction that replaces coarse sediment transported by peak flows (TRFEFR, p. 271). The TRFEFR also recommended that annual long-term introduction volumes be correlated with water year class, with larger volumes being introduced during wetter years, and low or zero volumes being introduced during drier years. Logistically, this approach is difficult, and the TRRP has </w:t>
      </w:r>
      <w:r w:rsidR="00BE3B65">
        <w:t>evolved to</w:t>
      </w:r>
      <w:r w:rsidR="004C17FE">
        <w:t xml:space="preserve"> a strategy that targets a steadier long-term annual introduction</w:t>
      </w:r>
      <w:r w:rsidR="00BE3B65">
        <w:t xml:space="preserve"> (not correlated with water year class)</w:t>
      </w:r>
      <w:r w:rsidR="004C17FE">
        <w:t xml:space="preserve">. The long-term weighted average introduction volume from Table 8.10 of the TRFEFR equates </w:t>
      </w:r>
      <w:proofErr w:type="gramStart"/>
      <w:r w:rsidR="004C17FE">
        <w:t xml:space="preserve">to </w:t>
      </w:r>
      <w:r w:rsidR="004D247A">
        <w:t>approximately 10,000 yd</w:t>
      </w:r>
      <w:r w:rsidR="004D247A" w:rsidRPr="005A6A3B">
        <w:rPr>
          <w:vertAlign w:val="superscript"/>
        </w:rPr>
        <w:t>3</w:t>
      </w:r>
      <w:r w:rsidR="005A6A3B">
        <w:t>/year</w:t>
      </w:r>
      <w:proofErr w:type="gramEnd"/>
      <w:r w:rsidR="004D247A">
        <w:t xml:space="preserve">. A recent analysis by Gaeuman (2008) recommends a long-term average introduction </w:t>
      </w:r>
      <w:proofErr w:type="gramStart"/>
      <w:r w:rsidR="004D247A">
        <w:t xml:space="preserve">of approximately </w:t>
      </w:r>
      <w:r w:rsidR="005A6A3B">
        <w:t>6,700 yd</w:t>
      </w:r>
      <w:r w:rsidR="005A6A3B" w:rsidRPr="005A6A3B">
        <w:rPr>
          <w:vertAlign w:val="superscript"/>
        </w:rPr>
        <w:t>3</w:t>
      </w:r>
      <w:r w:rsidR="005A6A3B">
        <w:t xml:space="preserve">/year to efficiently achieve a more desirable </w:t>
      </w:r>
      <w:r w:rsidR="00BE3B65">
        <w:t>(smaller)</w:t>
      </w:r>
      <w:proofErr w:type="gramEnd"/>
      <w:r w:rsidR="00BE3B65">
        <w:t xml:space="preserve"> </w:t>
      </w:r>
      <w:r w:rsidR="005A6A3B">
        <w:t xml:space="preserve">bed surface grain size </w:t>
      </w:r>
      <w:r w:rsidR="00BE3B65">
        <w:t>that is better scaled to</w:t>
      </w:r>
      <w:r w:rsidR="005A6A3B">
        <w:t xml:space="preserve"> the ROD </w:t>
      </w:r>
      <w:r w:rsidR="00BE3B65">
        <w:t xml:space="preserve">high </w:t>
      </w:r>
      <w:r w:rsidR="005A6A3B">
        <w:t xml:space="preserve">flow regime. </w:t>
      </w:r>
      <w:r w:rsidR="007F58E6">
        <w:t>The Gaeuman (2008) recommendation does not represent a programmatic change from the TRFEFR and ROD coarse sediment augmentation strategy or volumes, and will need to be considered with other coarse sediment management objectives by the Physical Workgroup and TMC before any programmatic changes are made.</w:t>
      </w:r>
    </w:p>
    <w:p w:rsidR="00C964B6" w:rsidRDefault="007F58E6" w:rsidP="009F2238">
      <w:pPr>
        <w:pStyle w:val="BodyText"/>
        <w:ind w:firstLine="0"/>
        <w:jc w:val="left"/>
      </w:pPr>
      <w:r>
        <w:t xml:space="preserve">When considering the potential impacts of a 1-year hiatus in coarse sediment augmentation, the Physical Workgroup discussed the recent coarse sediment augmentation conducted by the </w:t>
      </w:r>
      <w:r w:rsidR="003E6D67">
        <w:t>TRRP since full ROD implementation began in 2005. Beginning in 2006, t</w:t>
      </w:r>
      <w:r w:rsidR="005A6A3B">
        <w:t xml:space="preserve">he TRRP has been conducting more extensive coarse sediment augmentation, as summarized by Krause (in </w:t>
      </w:r>
      <w:r w:rsidR="00BE3B65">
        <w:t>review</w:t>
      </w:r>
      <w:r w:rsidR="005A6A3B">
        <w:t>):</w:t>
      </w:r>
    </w:p>
    <w:tbl>
      <w:tblPr>
        <w:tblStyle w:val="TableGrid"/>
        <w:tblW w:w="0" w:type="auto"/>
        <w:jc w:val="center"/>
        <w:tblInd w:w="-1941" w:type="dxa"/>
        <w:tblLook w:val="04A0"/>
      </w:tblPr>
      <w:tblGrid>
        <w:gridCol w:w="2410"/>
        <w:gridCol w:w="5289"/>
      </w:tblGrid>
      <w:tr w:rsidR="009F2238" w:rsidRPr="003106B7" w:rsidTr="003E6D67">
        <w:trPr>
          <w:jc w:val="center"/>
        </w:trPr>
        <w:tc>
          <w:tcPr>
            <w:tcW w:w="2410" w:type="dxa"/>
            <w:vAlign w:val="bottom"/>
          </w:tcPr>
          <w:p w:rsidR="009F2238" w:rsidRPr="003106B7" w:rsidRDefault="009F2238" w:rsidP="009F2238">
            <w:pPr>
              <w:jc w:val="center"/>
              <w:rPr>
                <w:b/>
                <w:sz w:val="22"/>
                <w:szCs w:val="22"/>
              </w:rPr>
            </w:pPr>
            <w:r w:rsidRPr="003106B7">
              <w:rPr>
                <w:b/>
                <w:sz w:val="22"/>
                <w:szCs w:val="22"/>
              </w:rPr>
              <w:t>Year</w:t>
            </w:r>
          </w:p>
        </w:tc>
        <w:tc>
          <w:tcPr>
            <w:tcW w:w="5289" w:type="dxa"/>
            <w:vAlign w:val="bottom"/>
          </w:tcPr>
          <w:p w:rsidR="009F2238" w:rsidRPr="003106B7" w:rsidRDefault="00BE3B65" w:rsidP="009F2238">
            <w:pPr>
              <w:jc w:val="center"/>
              <w:rPr>
                <w:b/>
                <w:sz w:val="22"/>
                <w:szCs w:val="22"/>
              </w:rPr>
            </w:pPr>
            <w:r>
              <w:rPr>
                <w:b/>
                <w:sz w:val="22"/>
                <w:szCs w:val="22"/>
              </w:rPr>
              <w:t xml:space="preserve">Annual Coarse Sediment </w:t>
            </w:r>
            <w:r w:rsidR="009F2238" w:rsidRPr="003106B7">
              <w:rPr>
                <w:b/>
                <w:sz w:val="22"/>
                <w:szCs w:val="22"/>
              </w:rPr>
              <w:t>Augmentation Volume (yd</w:t>
            </w:r>
            <w:r w:rsidR="009F2238" w:rsidRPr="003106B7">
              <w:rPr>
                <w:b/>
                <w:sz w:val="22"/>
                <w:szCs w:val="22"/>
                <w:vertAlign w:val="superscript"/>
              </w:rPr>
              <w:t>3</w:t>
            </w:r>
            <w:r w:rsidR="009F2238" w:rsidRPr="003106B7">
              <w:rPr>
                <w:b/>
                <w:sz w:val="22"/>
                <w:szCs w:val="22"/>
              </w:rPr>
              <w:t>)</w:t>
            </w:r>
          </w:p>
        </w:tc>
      </w:tr>
      <w:tr w:rsidR="009F2238" w:rsidRPr="003106B7" w:rsidTr="003E6D67">
        <w:trPr>
          <w:jc w:val="center"/>
        </w:trPr>
        <w:tc>
          <w:tcPr>
            <w:tcW w:w="2410" w:type="dxa"/>
            <w:vAlign w:val="center"/>
          </w:tcPr>
          <w:p w:rsidR="009F2238" w:rsidRPr="003106B7" w:rsidRDefault="009F2238" w:rsidP="00BE3B65">
            <w:pPr>
              <w:jc w:val="center"/>
              <w:rPr>
                <w:sz w:val="22"/>
                <w:szCs w:val="22"/>
              </w:rPr>
            </w:pPr>
            <w:r w:rsidRPr="003106B7">
              <w:rPr>
                <w:sz w:val="22"/>
                <w:szCs w:val="22"/>
              </w:rPr>
              <w:t>2006</w:t>
            </w:r>
          </w:p>
        </w:tc>
        <w:tc>
          <w:tcPr>
            <w:tcW w:w="5289" w:type="dxa"/>
            <w:vAlign w:val="center"/>
          </w:tcPr>
          <w:p w:rsidR="009F2238" w:rsidRPr="003106B7" w:rsidRDefault="009F2238" w:rsidP="00BE3B65">
            <w:pPr>
              <w:jc w:val="center"/>
              <w:rPr>
                <w:sz w:val="22"/>
                <w:szCs w:val="22"/>
              </w:rPr>
            </w:pPr>
            <w:r w:rsidRPr="003106B7">
              <w:rPr>
                <w:sz w:val="22"/>
                <w:szCs w:val="22"/>
              </w:rPr>
              <w:t>1,620</w:t>
            </w:r>
          </w:p>
        </w:tc>
      </w:tr>
      <w:tr w:rsidR="009F2238" w:rsidRPr="003106B7" w:rsidTr="003E6D67">
        <w:trPr>
          <w:jc w:val="center"/>
        </w:trPr>
        <w:tc>
          <w:tcPr>
            <w:tcW w:w="2410" w:type="dxa"/>
            <w:vAlign w:val="center"/>
          </w:tcPr>
          <w:p w:rsidR="009F2238" w:rsidRPr="003106B7" w:rsidRDefault="009F2238" w:rsidP="00BE3B65">
            <w:pPr>
              <w:jc w:val="center"/>
              <w:rPr>
                <w:sz w:val="22"/>
                <w:szCs w:val="22"/>
              </w:rPr>
            </w:pPr>
            <w:r w:rsidRPr="003106B7">
              <w:rPr>
                <w:sz w:val="22"/>
                <w:szCs w:val="22"/>
              </w:rPr>
              <w:t>2007</w:t>
            </w:r>
          </w:p>
        </w:tc>
        <w:tc>
          <w:tcPr>
            <w:tcW w:w="5289" w:type="dxa"/>
            <w:vAlign w:val="center"/>
          </w:tcPr>
          <w:p w:rsidR="009F2238" w:rsidRPr="003106B7" w:rsidRDefault="009F2238" w:rsidP="00BE3B65">
            <w:pPr>
              <w:jc w:val="center"/>
              <w:rPr>
                <w:sz w:val="22"/>
                <w:szCs w:val="22"/>
              </w:rPr>
            </w:pPr>
            <w:r w:rsidRPr="003106B7">
              <w:rPr>
                <w:sz w:val="22"/>
                <w:szCs w:val="22"/>
              </w:rPr>
              <w:t>4,330</w:t>
            </w:r>
          </w:p>
        </w:tc>
      </w:tr>
      <w:tr w:rsidR="009F2238" w:rsidRPr="003106B7" w:rsidTr="003E6D67">
        <w:trPr>
          <w:jc w:val="center"/>
        </w:trPr>
        <w:tc>
          <w:tcPr>
            <w:tcW w:w="2410" w:type="dxa"/>
            <w:vAlign w:val="center"/>
          </w:tcPr>
          <w:p w:rsidR="009F2238" w:rsidRPr="003106B7" w:rsidRDefault="009F2238" w:rsidP="00BE3B65">
            <w:pPr>
              <w:jc w:val="center"/>
              <w:rPr>
                <w:sz w:val="22"/>
                <w:szCs w:val="22"/>
              </w:rPr>
            </w:pPr>
            <w:r w:rsidRPr="003106B7">
              <w:rPr>
                <w:sz w:val="22"/>
                <w:szCs w:val="22"/>
              </w:rPr>
              <w:t>2008</w:t>
            </w:r>
          </w:p>
        </w:tc>
        <w:tc>
          <w:tcPr>
            <w:tcW w:w="5289" w:type="dxa"/>
            <w:vAlign w:val="center"/>
          </w:tcPr>
          <w:p w:rsidR="009F2238" w:rsidRPr="003106B7" w:rsidRDefault="009F2238" w:rsidP="00BE3B65">
            <w:pPr>
              <w:jc w:val="center"/>
              <w:rPr>
                <w:sz w:val="22"/>
                <w:szCs w:val="22"/>
              </w:rPr>
            </w:pPr>
            <w:r w:rsidRPr="003106B7">
              <w:rPr>
                <w:sz w:val="22"/>
                <w:szCs w:val="22"/>
              </w:rPr>
              <w:t>12,330</w:t>
            </w:r>
          </w:p>
        </w:tc>
      </w:tr>
      <w:tr w:rsidR="009F2238" w:rsidRPr="003106B7" w:rsidTr="003E6D67">
        <w:trPr>
          <w:jc w:val="center"/>
        </w:trPr>
        <w:tc>
          <w:tcPr>
            <w:tcW w:w="2410" w:type="dxa"/>
            <w:vAlign w:val="center"/>
          </w:tcPr>
          <w:p w:rsidR="009F2238" w:rsidRPr="003106B7" w:rsidRDefault="009F2238" w:rsidP="00BE3B65">
            <w:pPr>
              <w:jc w:val="center"/>
              <w:rPr>
                <w:sz w:val="22"/>
                <w:szCs w:val="22"/>
              </w:rPr>
            </w:pPr>
            <w:r w:rsidRPr="003106B7">
              <w:rPr>
                <w:sz w:val="22"/>
                <w:szCs w:val="22"/>
              </w:rPr>
              <w:t>2009</w:t>
            </w:r>
          </w:p>
        </w:tc>
        <w:tc>
          <w:tcPr>
            <w:tcW w:w="5289" w:type="dxa"/>
            <w:vAlign w:val="center"/>
          </w:tcPr>
          <w:p w:rsidR="009F2238" w:rsidRPr="003106B7" w:rsidRDefault="009F2238" w:rsidP="00BE3B65">
            <w:pPr>
              <w:jc w:val="center"/>
              <w:rPr>
                <w:sz w:val="22"/>
                <w:szCs w:val="22"/>
              </w:rPr>
            </w:pPr>
            <w:r w:rsidRPr="003106B7">
              <w:rPr>
                <w:sz w:val="22"/>
                <w:szCs w:val="22"/>
              </w:rPr>
              <w:t>7,330</w:t>
            </w:r>
          </w:p>
        </w:tc>
      </w:tr>
      <w:tr w:rsidR="009F2238" w:rsidRPr="003106B7" w:rsidTr="003E6D67">
        <w:trPr>
          <w:jc w:val="center"/>
        </w:trPr>
        <w:tc>
          <w:tcPr>
            <w:tcW w:w="2410" w:type="dxa"/>
            <w:tcBorders>
              <w:bottom w:val="single" w:sz="4" w:space="0" w:color="auto"/>
            </w:tcBorders>
            <w:vAlign w:val="center"/>
          </w:tcPr>
          <w:p w:rsidR="009F2238" w:rsidRPr="003106B7" w:rsidRDefault="009F2238" w:rsidP="00BE3B65">
            <w:pPr>
              <w:jc w:val="center"/>
              <w:rPr>
                <w:sz w:val="22"/>
                <w:szCs w:val="22"/>
              </w:rPr>
            </w:pPr>
            <w:r w:rsidRPr="003106B7">
              <w:rPr>
                <w:sz w:val="22"/>
                <w:szCs w:val="22"/>
              </w:rPr>
              <w:t>2010</w:t>
            </w:r>
          </w:p>
        </w:tc>
        <w:tc>
          <w:tcPr>
            <w:tcW w:w="5289" w:type="dxa"/>
            <w:tcBorders>
              <w:bottom w:val="single" w:sz="4" w:space="0" w:color="auto"/>
            </w:tcBorders>
            <w:vAlign w:val="center"/>
          </w:tcPr>
          <w:p w:rsidR="009F2238" w:rsidRPr="003106B7" w:rsidRDefault="009F2238" w:rsidP="00BE3B65">
            <w:pPr>
              <w:jc w:val="center"/>
              <w:rPr>
                <w:sz w:val="22"/>
                <w:szCs w:val="22"/>
              </w:rPr>
            </w:pPr>
            <w:r w:rsidRPr="003106B7">
              <w:rPr>
                <w:sz w:val="22"/>
                <w:szCs w:val="22"/>
              </w:rPr>
              <w:t>14,490</w:t>
            </w:r>
          </w:p>
        </w:tc>
      </w:tr>
      <w:tr w:rsidR="009F2238" w:rsidRPr="003106B7" w:rsidTr="003E6D67">
        <w:trPr>
          <w:jc w:val="center"/>
        </w:trPr>
        <w:tc>
          <w:tcPr>
            <w:tcW w:w="2410" w:type="dxa"/>
            <w:tcBorders>
              <w:bottom w:val="double" w:sz="4" w:space="0" w:color="auto"/>
            </w:tcBorders>
            <w:vAlign w:val="center"/>
          </w:tcPr>
          <w:p w:rsidR="009F2238" w:rsidRPr="003106B7" w:rsidRDefault="009F2238" w:rsidP="00BE3B65">
            <w:pPr>
              <w:jc w:val="center"/>
              <w:rPr>
                <w:sz w:val="22"/>
                <w:szCs w:val="22"/>
              </w:rPr>
            </w:pPr>
            <w:r w:rsidRPr="003106B7">
              <w:rPr>
                <w:sz w:val="22"/>
                <w:szCs w:val="22"/>
              </w:rPr>
              <w:t>2011</w:t>
            </w:r>
          </w:p>
        </w:tc>
        <w:tc>
          <w:tcPr>
            <w:tcW w:w="5289" w:type="dxa"/>
            <w:tcBorders>
              <w:bottom w:val="double" w:sz="4" w:space="0" w:color="auto"/>
            </w:tcBorders>
            <w:vAlign w:val="center"/>
          </w:tcPr>
          <w:p w:rsidR="009F2238" w:rsidRPr="003106B7" w:rsidRDefault="009F2238" w:rsidP="00BE3B65">
            <w:pPr>
              <w:jc w:val="center"/>
              <w:rPr>
                <w:sz w:val="22"/>
                <w:szCs w:val="22"/>
              </w:rPr>
            </w:pPr>
            <w:r w:rsidRPr="003106B7">
              <w:rPr>
                <w:sz w:val="22"/>
                <w:szCs w:val="22"/>
              </w:rPr>
              <w:t>5,320</w:t>
            </w:r>
          </w:p>
        </w:tc>
      </w:tr>
      <w:tr w:rsidR="009F2238" w:rsidRPr="003106B7" w:rsidTr="003E6D67">
        <w:trPr>
          <w:jc w:val="center"/>
        </w:trPr>
        <w:tc>
          <w:tcPr>
            <w:tcW w:w="2410" w:type="dxa"/>
            <w:tcBorders>
              <w:top w:val="double" w:sz="4" w:space="0" w:color="auto"/>
            </w:tcBorders>
            <w:vAlign w:val="center"/>
          </w:tcPr>
          <w:p w:rsidR="009F2238" w:rsidRPr="003106B7" w:rsidRDefault="00BE3B65" w:rsidP="00BE3B65">
            <w:pPr>
              <w:jc w:val="center"/>
              <w:rPr>
                <w:sz w:val="22"/>
                <w:szCs w:val="22"/>
              </w:rPr>
            </w:pPr>
            <w:r>
              <w:rPr>
                <w:sz w:val="22"/>
                <w:szCs w:val="22"/>
              </w:rPr>
              <w:t xml:space="preserve">2006-2011 </w:t>
            </w:r>
            <w:r w:rsidR="009F2238" w:rsidRPr="003106B7">
              <w:rPr>
                <w:sz w:val="22"/>
                <w:szCs w:val="22"/>
              </w:rPr>
              <w:t>AVERAGE</w:t>
            </w:r>
          </w:p>
        </w:tc>
        <w:tc>
          <w:tcPr>
            <w:tcW w:w="5289" w:type="dxa"/>
            <w:tcBorders>
              <w:top w:val="double" w:sz="4" w:space="0" w:color="auto"/>
            </w:tcBorders>
            <w:vAlign w:val="center"/>
          </w:tcPr>
          <w:p w:rsidR="009F2238" w:rsidRPr="003106B7" w:rsidRDefault="009F2238" w:rsidP="00BE3B65">
            <w:pPr>
              <w:jc w:val="center"/>
              <w:rPr>
                <w:sz w:val="22"/>
                <w:szCs w:val="22"/>
              </w:rPr>
            </w:pPr>
            <w:r w:rsidRPr="003106B7">
              <w:rPr>
                <w:sz w:val="22"/>
                <w:szCs w:val="22"/>
              </w:rPr>
              <w:t>7,570</w:t>
            </w:r>
          </w:p>
        </w:tc>
      </w:tr>
    </w:tbl>
    <w:p w:rsidR="003E6D67" w:rsidRPr="003E6D67" w:rsidRDefault="003E6D67" w:rsidP="00D92495">
      <w:pPr>
        <w:pStyle w:val="Heading1"/>
        <w:jc w:val="left"/>
        <w:rPr>
          <w:caps w:val="0"/>
          <w:spacing w:val="0"/>
          <w:kern w:val="0"/>
          <w:sz w:val="22"/>
        </w:rPr>
      </w:pPr>
      <w:r>
        <w:rPr>
          <w:caps w:val="0"/>
          <w:spacing w:val="0"/>
          <w:kern w:val="0"/>
          <w:sz w:val="22"/>
        </w:rPr>
        <w:lastRenderedPageBreak/>
        <w:t>The above volumes represent a combination of short-term supplementation via channel rehabilitation site placement (point bars, riffles), as well as long-term supplementation via physical placement in the channel and high flow injections.</w:t>
      </w:r>
    </w:p>
    <w:p w:rsidR="00C964B6" w:rsidRDefault="00DD5BFE" w:rsidP="00D92495">
      <w:pPr>
        <w:pStyle w:val="Heading1"/>
        <w:jc w:val="left"/>
      </w:pPr>
      <w:r>
        <w:t xml:space="preserve">augmentation Site </w:t>
      </w:r>
      <w:r w:rsidR="00D92495">
        <w:t>Considerations</w:t>
      </w:r>
    </w:p>
    <w:p w:rsidR="00D92495" w:rsidRDefault="00BE3B65" w:rsidP="00C964B6">
      <w:pPr>
        <w:rPr>
          <w:sz w:val="22"/>
          <w:szCs w:val="22"/>
        </w:rPr>
      </w:pPr>
      <w:r>
        <w:rPr>
          <w:sz w:val="22"/>
          <w:szCs w:val="22"/>
        </w:rPr>
        <w:t>Based on access, logistics, and permits, t</w:t>
      </w:r>
      <w:r w:rsidR="00D92495">
        <w:rPr>
          <w:sz w:val="22"/>
          <w:szCs w:val="22"/>
        </w:rPr>
        <w:t xml:space="preserve">he TRRP could potentially augment coarse sediment at three sites in the upper Trinity River in 2012: </w:t>
      </w:r>
    </w:p>
    <w:p w:rsidR="00D92495" w:rsidRDefault="00D92495" w:rsidP="00AC1B5E">
      <w:pPr>
        <w:numPr>
          <w:ilvl w:val="0"/>
          <w:numId w:val="1"/>
        </w:numPr>
        <w:ind w:left="180" w:hanging="180"/>
        <w:rPr>
          <w:sz w:val="22"/>
          <w:szCs w:val="22"/>
        </w:rPr>
      </w:pPr>
      <w:r>
        <w:rPr>
          <w:sz w:val="22"/>
          <w:szCs w:val="22"/>
        </w:rPr>
        <w:t>Diversion Pool at the USGS gaging station upstream of New Lewiston Bridge (River Mile 110.2);</w:t>
      </w:r>
    </w:p>
    <w:p w:rsidR="00D92495" w:rsidRDefault="00D92495" w:rsidP="00AC1B5E">
      <w:pPr>
        <w:numPr>
          <w:ilvl w:val="0"/>
          <w:numId w:val="1"/>
        </w:numPr>
        <w:ind w:left="180" w:hanging="180"/>
        <w:rPr>
          <w:sz w:val="22"/>
          <w:szCs w:val="22"/>
        </w:rPr>
      </w:pPr>
      <w:r>
        <w:rPr>
          <w:sz w:val="22"/>
          <w:szCs w:val="22"/>
        </w:rPr>
        <w:t xml:space="preserve">Sawmill Pool upstream of Rush Creek (River Mile </w:t>
      </w:r>
      <w:r w:rsidR="003106B7">
        <w:rPr>
          <w:sz w:val="22"/>
          <w:szCs w:val="22"/>
        </w:rPr>
        <w:t>108.6</w:t>
      </w:r>
      <w:r>
        <w:rPr>
          <w:sz w:val="22"/>
          <w:szCs w:val="22"/>
        </w:rPr>
        <w:t>)</w:t>
      </w:r>
      <w:r w:rsidR="003106B7">
        <w:rPr>
          <w:sz w:val="22"/>
          <w:szCs w:val="22"/>
        </w:rPr>
        <w:t>; and</w:t>
      </w:r>
    </w:p>
    <w:p w:rsidR="00D92495" w:rsidRPr="003106B7" w:rsidRDefault="00D92495" w:rsidP="00AC1B5E">
      <w:pPr>
        <w:numPr>
          <w:ilvl w:val="0"/>
          <w:numId w:val="1"/>
        </w:numPr>
        <w:ind w:left="180" w:hanging="180"/>
        <w:rPr>
          <w:sz w:val="22"/>
          <w:szCs w:val="22"/>
        </w:rPr>
      </w:pPr>
      <w:r>
        <w:rPr>
          <w:sz w:val="22"/>
          <w:szCs w:val="22"/>
        </w:rPr>
        <w:t xml:space="preserve">Lowden </w:t>
      </w:r>
      <w:r w:rsidR="00D47740">
        <w:rPr>
          <w:sz w:val="22"/>
          <w:szCs w:val="22"/>
        </w:rPr>
        <w:t>Ranch</w:t>
      </w:r>
      <w:r>
        <w:rPr>
          <w:sz w:val="22"/>
          <w:szCs w:val="22"/>
        </w:rPr>
        <w:t>, upstream of Grass Valley Creek (</w:t>
      </w:r>
      <w:r w:rsidR="003106B7">
        <w:rPr>
          <w:sz w:val="22"/>
          <w:szCs w:val="22"/>
        </w:rPr>
        <w:t>River Mile 104.</w:t>
      </w:r>
      <w:r w:rsidR="00D47740">
        <w:rPr>
          <w:sz w:val="22"/>
          <w:szCs w:val="22"/>
        </w:rPr>
        <w:t>9</w:t>
      </w:r>
      <w:bookmarkStart w:id="0" w:name="_GoBack"/>
      <w:bookmarkEnd w:id="0"/>
      <w:r>
        <w:rPr>
          <w:sz w:val="22"/>
          <w:szCs w:val="22"/>
        </w:rPr>
        <w:t>).</w:t>
      </w:r>
    </w:p>
    <w:p w:rsidR="00AC1B5E" w:rsidRDefault="00AC1B5E" w:rsidP="00C964B6">
      <w:pPr>
        <w:rPr>
          <w:rFonts w:eastAsia="Times New Roman"/>
          <w:sz w:val="22"/>
          <w:szCs w:val="20"/>
        </w:rPr>
      </w:pPr>
    </w:p>
    <w:p w:rsidR="009F2238" w:rsidRPr="003106B7" w:rsidRDefault="003106B7" w:rsidP="00C964B6">
      <w:pPr>
        <w:rPr>
          <w:rFonts w:eastAsia="Times New Roman"/>
          <w:sz w:val="22"/>
          <w:szCs w:val="20"/>
        </w:rPr>
      </w:pPr>
      <w:r w:rsidRPr="003106B7">
        <w:rPr>
          <w:rFonts w:eastAsia="Times New Roman"/>
          <w:sz w:val="22"/>
          <w:szCs w:val="20"/>
        </w:rPr>
        <w:t xml:space="preserve">The Physical Workgroup discussed coarse sediment augmentation tradeoffs at the three sites, and </w:t>
      </w:r>
      <w:r w:rsidR="00BE3B65">
        <w:rPr>
          <w:rFonts w:eastAsia="Times New Roman"/>
          <w:sz w:val="22"/>
          <w:szCs w:val="20"/>
        </w:rPr>
        <w:t>recommended no augmentation at</w:t>
      </w:r>
      <w:r w:rsidRPr="003106B7">
        <w:rPr>
          <w:rFonts w:eastAsia="Times New Roman"/>
          <w:sz w:val="22"/>
          <w:szCs w:val="20"/>
        </w:rPr>
        <w:t xml:space="preserve"> the Sawmill Pool and Lowden Meadow because there was </w:t>
      </w:r>
      <w:r w:rsidR="00BE3B65" w:rsidRPr="003106B7">
        <w:rPr>
          <w:rFonts w:eastAsia="Times New Roman"/>
          <w:sz w:val="22"/>
          <w:szCs w:val="20"/>
        </w:rPr>
        <w:t xml:space="preserve">already </w:t>
      </w:r>
      <w:r w:rsidRPr="003106B7">
        <w:rPr>
          <w:rFonts w:eastAsia="Times New Roman"/>
          <w:sz w:val="22"/>
          <w:szCs w:val="20"/>
        </w:rPr>
        <w:t>an abundance of coarse sediment</w:t>
      </w:r>
      <w:r w:rsidR="00BE3B65">
        <w:rPr>
          <w:rFonts w:eastAsia="Times New Roman"/>
          <w:sz w:val="22"/>
          <w:szCs w:val="20"/>
        </w:rPr>
        <w:t xml:space="preserve"> stored</w:t>
      </w:r>
      <w:r w:rsidRPr="003106B7">
        <w:rPr>
          <w:rFonts w:eastAsia="Times New Roman"/>
          <w:sz w:val="22"/>
          <w:szCs w:val="20"/>
        </w:rPr>
        <w:t xml:space="preserve"> at those locations</w:t>
      </w:r>
      <w:r w:rsidR="00BE3B65">
        <w:rPr>
          <w:rFonts w:eastAsia="Times New Roman"/>
          <w:sz w:val="22"/>
          <w:szCs w:val="20"/>
        </w:rPr>
        <w:t xml:space="preserve"> from previous augmentations</w:t>
      </w:r>
      <w:r w:rsidRPr="003106B7">
        <w:rPr>
          <w:rFonts w:eastAsia="Times New Roman"/>
          <w:sz w:val="22"/>
          <w:szCs w:val="20"/>
        </w:rPr>
        <w:t xml:space="preserve">. Discussion focused on the Diversion Pool, because the steeper gradient and favorable hydraulics during high flows enables additional coarse sediment to be placed there. The Physical Workgroup reviewed </w:t>
      </w:r>
      <w:r w:rsidR="00AC1B5E">
        <w:rPr>
          <w:rFonts w:eastAsia="Times New Roman"/>
          <w:sz w:val="22"/>
          <w:szCs w:val="20"/>
        </w:rPr>
        <w:t xml:space="preserve">raw </w:t>
      </w:r>
      <w:r w:rsidRPr="003106B7">
        <w:rPr>
          <w:rFonts w:eastAsia="Times New Roman"/>
          <w:sz w:val="22"/>
          <w:szCs w:val="20"/>
        </w:rPr>
        <w:t>bed elevation data at several pools immediately downstream of the Diversion Pool, and</w:t>
      </w:r>
      <w:r w:rsidR="00AC1B5E">
        <w:rPr>
          <w:rFonts w:eastAsia="Times New Roman"/>
          <w:sz w:val="22"/>
          <w:szCs w:val="20"/>
        </w:rPr>
        <w:t xml:space="preserve"> observed areas of local elevation increases and decreases. However, given the preliminary nature of the data and lack of a rigorous analysis, we could not make any definitive conclusions about net changes in pool depths</w:t>
      </w:r>
      <w:r w:rsidRPr="003106B7">
        <w:rPr>
          <w:rFonts w:eastAsia="Times New Roman"/>
          <w:sz w:val="22"/>
          <w:szCs w:val="20"/>
        </w:rPr>
        <w:t>.</w:t>
      </w:r>
    </w:p>
    <w:p w:rsidR="009F2238" w:rsidRPr="00D92495" w:rsidRDefault="009F2238" w:rsidP="00C964B6">
      <w:pPr>
        <w:rPr>
          <w:sz w:val="22"/>
          <w:szCs w:val="22"/>
        </w:rPr>
      </w:pPr>
    </w:p>
    <w:p w:rsidR="009F2238" w:rsidRDefault="009F2238" w:rsidP="009F2238">
      <w:pPr>
        <w:pStyle w:val="Heading1"/>
        <w:jc w:val="left"/>
      </w:pPr>
      <w:r>
        <w:t>Recommendation</w:t>
      </w:r>
    </w:p>
    <w:p w:rsidR="00C54D6A" w:rsidRDefault="009F2238" w:rsidP="00EF0605">
      <w:pPr>
        <w:rPr>
          <w:sz w:val="22"/>
          <w:szCs w:val="22"/>
        </w:rPr>
      </w:pPr>
      <w:r>
        <w:rPr>
          <w:sz w:val="22"/>
          <w:szCs w:val="22"/>
        </w:rPr>
        <w:t xml:space="preserve">The </w:t>
      </w:r>
      <w:r w:rsidR="00C57CA9">
        <w:rPr>
          <w:sz w:val="22"/>
          <w:szCs w:val="22"/>
        </w:rPr>
        <w:t xml:space="preserve">consensus of the </w:t>
      </w:r>
      <w:r>
        <w:rPr>
          <w:sz w:val="22"/>
          <w:szCs w:val="22"/>
        </w:rPr>
        <w:t xml:space="preserve">Physical Workgroup </w:t>
      </w:r>
      <w:r w:rsidR="00C57CA9">
        <w:rPr>
          <w:sz w:val="22"/>
          <w:szCs w:val="22"/>
        </w:rPr>
        <w:t xml:space="preserve">is that a 1-year hiatus from coarse sediment augmentation would not compromise the success of the ROD, given that WY 2012 is likely going to be a drier water year, and </w:t>
      </w:r>
      <w:r w:rsidR="00D47740">
        <w:rPr>
          <w:sz w:val="22"/>
          <w:szCs w:val="22"/>
        </w:rPr>
        <w:t>2006-2011</w:t>
      </w:r>
      <w:r w:rsidR="00C57CA9">
        <w:rPr>
          <w:sz w:val="22"/>
          <w:szCs w:val="22"/>
        </w:rPr>
        <w:t xml:space="preserve"> coarse sediment augmentation </w:t>
      </w:r>
      <w:r w:rsidR="00D47740">
        <w:rPr>
          <w:sz w:val="22"/>
          <w:szCs w:val="22"/>
        </w:rPr>
        <w:t>(7,570 yd</w:t>
      </w:r>
      <w:r w:rsidR="00D47740" w:rsidRPr="00D47740">
        <w:rPr>
          <w:sz w:val="22"/>
          <w:szCs w:val="22"/>
          <w:vertAlign w:val="superscript"/>
        </w:rPr>
        <w:t>3</w:t>
      </w:r>
      <w:r w:rsidR="00D47740">
        <w:rPr>
          <w:sz w:val="22"/>
          <w:szCs w:val="22"/>
        </w:rPr>
        <w:t xml:space="preserve">) </w:t>
      </w:r>
      <w:r w:rsidR="00C57CA9">
        <w:rPr>
          <w:sz w:val="22"/>
          <w:szCs w:val="22"/>
        </w:rPr>
        <w:t xml:space="preserve">has been </w:t>
      </w:r>
      <w:r w:rsidR="00D47740">
        <w:rPr>
          <w:sz w:val="22"/>
          <w:szCs w:val="22"/>
        </w:rPr>
        <w:t>near</w:t>
      </w:r>
      <w:r w:rsidR="00C57CA9">
        <w:rPr>
          <w:sz w:val="22"/>
          <w:szCs w:val="22"/>
        </w:rPr>
        <w:t xml:space="preserve"> </w:t>
      </w:r>
      <w:proofErr w:type="spellStart"/>
      <w:r w:rsidR="00710A92">
        <w:rPr>
          <w:sz w:val="22"/>
          <w:szCs w:val="22"/>
        </w:rPr>
        <w:t>Gaeu</w:t>
      </w:r>
      <w:r w:rsidR="00D47740">
        <w:rPr>
          <w:sz w:val="22"/>
          <w:szCs w:val="22"/>
        </w:rPr>
        <w:t>man’s</w:t>
      </w:r>
      <w:proofErr w:type="spellEnd"/>
      <w:r w:rsidR="00C57CA9">
        <w:rPr>
          <w:sz w:val="22"/>
          <w:szCs w:val="22"/>
        </w:rPr>
        <w:t xml:space="preserve"> </w:t>
      </w:r>
      <w:r w:rsidR="00D47740">
        <w:rPr>
          <w:sz w:val="22"/>
          <w:szCs w:val="22"/>
        </w:rPr>
        <w:t xml:space="preserve">recommended </w:t>
      </w:r>
      <w:r w:rsidR="00C57CA9">
        <w:rPr>
          <w:sz w:val="22"/>
          <w:szCs w:val="22"/>
        </w:rPr>
        <w:t xml:space="preserve">long-term average of </w:t>
      </w:r>
      <w:r w:rsidR="00C57CA9" w:rsidRPr="009F2238">
        <w:rPr>
          <w:sz w:val="22"/>
          <w:szCs w:val="22"/>
        </w:rPr>
        <w:t>6,700 yd</w:t>
      </w:r>
      <w:r w:rsidR="00C57CA9" w:rsidRPr="009F2238">
        <w:rPr>
          <w:sz w:val="22"/>
          <w:szCs w:val="22"/>
          <w:vertAlign w:val="superscript"/>
        </w:rPr>
        <w:t>3</w:t>
      </w:r>
      <w:r w:rsidR="00C57CA9" w:rsidRPr="009F2238">
        <w:rPr>
          <w:sz w:val="22"/>
          <w:szCs w:val="22"/>
        </w:rPr>
        <w:t>/year</w:t>
      </w:r>
      <w:r w:rsidR="00D47740">
        <w:rPr>
          <w:sz w:val="22"/>
          <w:szCs w:val="22"/>
        </w:rPr>
        <w:t>, but below the long-term average recommended in the TRFEFR and ROD</w:t>
      </w:r>
      <w:r w:rsidR="00C57CA9">
        <w:rPr>
          <w:sz w:val="22"/>
          <w:szCs w:val="22"/>
        </w:rPr>
        <w:t>. A hiatus of</w:t>
      </w:r>
      <w:r w:rsidRPr="009F2238">
        <w:rPr>
          <w:sz w:val="22"/>
          <w:szCs w:val="22"/>
        </w:rPr>
        <w:t xml:space="preserve"> coarse sediment augmentation </w:t>
      </w:r>
      <w:r w:rsidR="00C57CA9">
        <w:rPr>
          <w:sz w:val="22"/>
          <w:szCs w:val="22"/>
        </w:rPr>
        <w:t>in 2012</w:t>
      </w:r>
      <w:r w:rsidRPr="009F2238">
        <w:rPr>
          <w:sz w:val="22"/>
          <w:szCs w:val="22"/>
        </w:rPr>
        <w:t xml:space="preserve"> would reduce the 2006-2012 average </w:t>
      </w:r>
      <w:proofErr w:type="gramStart"/>
      <w:r w:rsidRPr="009F2238">
        <w:rPr>
          <w:sz w:val="22"/>
          <w:szCs w:val="22"/>
        </w:rPr>
        <w:t>from 7,570 yd</w:t>
      </w:r>
      <w:r w:rsidRPr="009F2238">
        <w:rPr>
          <w:sz w:val="22"/>
          <w:szCs w:val="22"/>
          <w:vertAlign w:val="superscript"/>
        </w:rPr>
        <w:t>3</w:t>
      </w:r>
      <w:r w:rsidRPr="009F2238">
        <w:rPr>
          <w:sz w:val="22"/>
          <w:szCs w:val="22"/>
        </w:rPr>
        <w:t>/yr</w:t>
      </w:r>
      <w:proofErr w:type="gramEnd"/>
      <w:r w:rsidRPr="009F2238">
        <w:rPr>
          <w:sz w:val="22"/>
          <w:szCs w:val="22"/>
        </w:rPr>
        <w:t xml:space="preserve"> to 6,500 yd</w:t>
      </w:r>
      <w:r w:rsidRPr="009F2238">
        <w:rPr>
          <w:sz w:val="22"/>
          <w:szCs w:val="22"/>
          <w:vertAlign w:val="superscript"/>
        </w:rPr>
        <w:t>3</w:t>
      </w:r>
      <w:r w:rsidRPr="009F2238">
        <w:rPr>
          <w:sz w:val="22"/>
          <w:szCs w:val="22"/>
        </w:rPr>
        <w:t>/yr.</w:t>
      </w:r>
      <w:r w:rsidR="00C57CA9">
        <w:rPr>
          <w:sz w:val="22"/>
          <w:szCs w:val="22"/>
        </w:rPr>
        <w:t xml:space="preserve"> </w:t>
      </w:r>
    </w:p>
    <w:p w:rsidR="00C54D6A" w:rsidRDefault="00C54D6A" w:rsidP="00EF0605">
      <w:pPr>
        <w:rPr>
          <w:sz w:val="22"/>
          <w:szCs w:val="22"/>
        </w:rPr>
      </w:pPr>
    </w:p>
    <w:p w:rsidR="00C964B6" w:rsidRPr="00EF0605" w:rsidRDefault="00C54D6A" w:rsidP="00EF0605">
      <w:pPr>
        <w:rPr>
          <w:sz w:val="22"/>
          <w:szCs w:val="22"/>
        </w:rPr>
      </w:pPr>
      <w:r>
        <w:rPr>
          <w:sz w:val="22"/>
          <w:szCs w:val="22"/>
        </w:rPr>
        <w:t>To address concerns over possible changes in pool habitat forms, the Physical Workgroup proposed that the TRRP</w:t>
      </w:r>
      <w:r w:rsidR="00C57CA9">
        <w:rPr>
          <w:sz w:val="22"/>
          <w:szCs w:val="22"/>
        </w:rPr>
        <w:t xml:space="preserve"> (1) evaluate whether pool depths near Lewiston Dam increase in the absence of immediate upstream augmentation at the Diversion Pool site, (2) conduct a more thorough evaluation of 2009-2011 pool depth evolution between Lewiston Dam and the North Fork Trinity River</w:t>
      </w:r>
      <w:r w:rsidR="00D92495">
        <w:rPr>
          <w:sz w:val="22"/>
          <w:szCs w:val="22"/>
        </w:rPr>
        <w:t xml:space="preserve"> as we receive new bathymetric data over the next few months</w:t>
      </w:r>
      <w:r w:rsidR="00DD5BFE">
        <w:rPr>
          <w:sz w:val="22"/>
          <w:szCs w:val="22"/>
        </w:rPr>
        <w:t xml:space="preserve">, and (3) </w:t>
      </w:r>
      <w:r>
        <w:rPr>
          <w:sz w:val="22"/>
          <w:szCs w:val="22"/>
        </w:rPr>
        <w:t xml:space="preserve">incorporate </w:t>
      </w:r>
      <w:r w:rsidR="00DD5BFE">
        <w:rPr>
          <w:sz w:val="22"/>
          <w:szCs w:val="22"/>
        </w:rPr>
        <w:t>results from the Phase 1 review in future coarse sediment augmentation</w:t>
      </w:r>
      <w:r w:rsidR="00C57CA9">
        <w:rPr>
          <w:sz w:val="22"/>
          <w:szCs w:val="22"/>
        </w:rPr>
        <w:t>.</w:t>
      </w:r>
      <w:r w:rsidR="00DD5BFE">
        <w:rPr>
          <w:sz w:val="22"/>
          <w:szCs w:val="22"/>
        </w:rPr>
        <w:t xml:space="preserve"> The Physical Workgroup also stressed that the coarse sediment augmentation recommendations are a critical component to fully implementing the ROD and achieving river and fishery restoration objectives, and a 1-year hiatus should not be extended to future years without significant scientific basis for doing so. </w:t>
      </w:r>
    </w:p>
    <w:sectPr w:rsidR="00C964B6" w:rsidRPr="00EF0605" w:rsidSect="003A19C4">
      <w:footerReference w:type="even" r:id="rId7"/>
      <w:footerReference w:type="default" r:id="rId8"/>
      <w:footerReference w:type="first" r:id="rId9"/>
      <w:pgSz w:w="12240" w:h="15840" w:code="1"/>
      <w:pgMar w:top="1440" w:right="1800" w:bottom="1440" w:left="1800" w:header="960" w:footer="9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6B7" w:rsidRDefault="003106B7">
      <w:pPr>
        <w:spacing w:line="240" w:lineRule="auto"/>
      </w:pPr>
      <w:r>
        <w:separator/>
      </w:r>
    </w:p>
  </w:endnote>
  <w:endnote w:type="continuationSeparator" w:id="0">
    <w:p w:rsidR="003106B7" w:rsidRDefault="003106B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6B7" w:rsidRDefault="003A19C4">
    <w:pPr>
      <w:pStyle w:val="Footer"/>
      <w:framePr w:wrap="around" w:vAnchor="text" w:hAnchor="margin" w:xAlign="center" w:y="1"/>
      <w:rPr>
        <w:rStyle w:val="PageNumber"/>
      </w:rPr>
    </w:pPr>
    <w:r>
      <w:rPr>
        <w:rStyle w:val="PageNumber"/>
      </w:rPr>
      <w:fldChar w:fldCharType="begin"/>
    </w:r>
    <w:r w:rsidR="003106B7">
      <w:rPr>
        <w:rStyle w:val="PageNumber"/>
      </w:rPr>
      <w:instrText xml:space="preserve">PAGE  </w:instrText>
    </w:r>
    <w:r>
      <w:rPr>
        <w:rStyle w:val="PageNumber"/>
      </w:rPr>
      <w:fldChar w:fldCharType="separate"/>
    </w:r>
    <w:r w:rsidR="003106B7">
      <w:rPr>
        <w:rStyle w:val="PageNumber"/>
        <w:noProof/>
      </w:rPr>
      <w:t>5</w:t>
    </w:r>
    <w:r>
      <w:rPr>
        <w:rStyle w:val="PageNumber"/>
      </w:rPr>
      <w:fldChar w:fldCharType="end"/>
    </w:r>
  </w:p>
  <w:p w:rsidR="003106B7" w:rsidRDefault="003106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6B7" w:rsidRDefault="003A19C4">
    <w:pPr>
      <w:pStyle w:val="Footer"/>
      <w:pBdr>
        <w:top w:val="single" w:sz="6" w:space="2" w:color="auto"/>
      </w:pBdr>
      <w:ind w:left="4080" w:right="4080"/>
    </w:pPr>
    <w:r>
      <w:rPr>
        <w:rStyle w:val="PageNumber"/>
      </w:rPr>
      <w:fldChar w:fldCharType="begin"/>
    </w:r>
    <w:r w:rsidR="003106B7">
      <w:rPr>
        <w:rStyle w:val="PageNumber"/>
      </w:rPr>
      <w:instrText xml:space="preserve"> PAGE </w:instrText>
    </w:r>
    <w:r>
      <w:rPr>
        <w:rStyle w:val="PageNumber"/>
      </w:rPr>
      <w:fldChar w:fldCharType="separate"/>
    </w:r>
    <w:r w:rsidR="00710A92">
      <w:rPr>
        <w:rStyle w:val="PageNumber"/>
        <w:noProof/>
      </w:rPr>
      <w:t>2</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6B7" w:rsidRDefault="003106B7">
    <w:pPr>
      <w:pStyle w:val="Footer"/>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6B7" w:rsidRDefault="003106B7">
      <w:pPr>
        <w:spacing w:line="240" w:lineRule="auto"/>
      </w:pPr>
      <w:r>
        <w:separator/>
      </w:r>
    </w:p>
  </w:footnote>
  <w:footnote w:type="continuationSeparator" w:id="0">
    <w:p w:rsidR="003106B7" w:rsidRDefault="003106B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92C5B"/>
    <w:multiLevelType w:val="hybridMultilevel"/>
    <w:tmpl w:val="A64AF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US" w:vendorID="8" w:dllVersion="513" w:checkStyle="1"/>
  <w:proofState w:spelling="clean" w:grammar="clean"/>
  <w:attachedTemplate r:id="rId1"/>
  <w:defaultTabStop w:val="720"/>
  <w:drawingGridHorizontalSpacing w:val="187"/>
  <w:drawingGridVerticalSpacing w:val="187"/>
  <w:doNotUseMarginsForDrawingGridOrigin/>
  <w:drawingGridHorizontalOrigin w:val="1699"/>
  <w:drawingGridVerticalOrigin w:val="1987"/>
  <w:noPunctuationKerning/>
  <w:characterSpacingControl w:val="doNotCompress"/>
  <w:footnotePr>
    <w:footnote w:id="-1"/>
    <w:footnote w:id="0"/>
  </w:footnotePr>
  <w:endnotePr>
    <w:endnote w:id="-1"/>
    <w:endnote w:id="0"/>
  </w:endnotePr>
  <w:compat/>
  <w:rsids>
    <w:rsidRoot w:val="00FB726B"/>
    <w:rsid w:val="00074B6A"/>
    <w:rsid w:val="003106B7"/>
    <w:rsid w:val="003A19C4"/>
    <w:rsid w:val="003E6D67"/>
    <w:rsid w:val="00402F57"/>
    <w:rsid w:val="004C17FE"/>
    <w:rsid w:val="004D247A"/>
    <w:rsid w:val="004D4B53"/>
    <w:rsid w:val="005A6A3B"/>
    <w:rsid w:val="00710A92"/>
    <w:rsid w:val="007F58E6"/>
    <w:rsid w:val="009F2238"/>
    <w:rsid w:val="00AC1B5E"/>
    <w:rsid w:val="00BE3B65"/>
    <w:rsid w:val="00C54D6A"/>
    <w:rsid w:val="00C57CA9"/>
    <w:rsid w:val="00C964B6"/>
    <w:rsid w:val="00D47740"/>
    <w:rsid w:val="00D92495"/>
    <w:rsid w:val="00DD5BFE"/>
    <w:rsid w:val="00EF0605"/>
    <w:rsid w:val="00FB72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4B6"/>
    <w:pPr>
      <w:spacing w:line="276" w:lineRule="auto"/>
    </w:pPr>
    <w:rPr>
      <w:rFonts w:ascii="Garamond" w:eastAsia="Calibri" w:hAnsi="Garamond"/>
      <w:sz w:val="24"/>
      <w:szCs w:val="24"/>
    </w:rPr>
  </w:style>
  <w:style w:type="paragraph" w:styleId="Heading1">
    <w:name w:val="heading 1"/>
    <w:basedOn w:val="Normal"/>
    <w:next w:val="BodyText"/>
    <w:qFormat/>
    <w:rsid w:val="003A19C4"/>
    <w:pPr>
      <w:keepNext/>
      <w:keepLines/>
      <w:spacing w:after="180" w:line="240" w:lineRule="atLeast"/>
      <w:jc w:val="center"/>
      <w:outlineLvl w:val="0"/>
    </w:pPr>
    <w:rPr>
      <w:rFonts w:eastAsia="Times New Roman"/>
      <w:caps/>
      <w:spacing w:val="20"/>
      <w:kern w:val="20"/>
      <w:sz w:val="18"/>
      <w:szCs w:val="20"/>
    </w:rPr>
  </w:style>
  <w:style w:type="paragraph" w:styleId="Heading2">
    <w:name w:val="heading 2"/>
    <w:basedOn w:val="Normal"/>
    <w:next w:val="BodyText"/>
    <w:qFormat/>
    <w:rsid w:val="003A19C4"/>
    <w:pPr>
      <w:keepNext/>
      <w:keepLines/>
      <w:spacing w:after="170" w:line="240" w:lineRule="atLeast"/>
      <w:outlineLvl w:val="1"/>
    </w:pPr>
    <w:rPr>
      <w:rFonts w:eastAsia="Times New Roman"/>
      <w:caps/>
      <w:kern w:val="20"/>
      <w:sz w:val="22"/>
      <w:szCs w:val="20"/>
    </w:rPr>
  </w:style>
  <w:style w:type="paragraph" w:styleId="Heading3">
    <w:name w:val="heading 3"/>
    <w:basedOn w:val="Normal"/>
    <w:next w:val="BodyText"/>
    <w:qFormat/>
    <w:rsid w:val="003A19C4"/>
    <w:pPr>
      <w:keepNext/>
      <w:keepLines/>
      <w:spacing w:after="240" w:line="240" w:lineRule="atLeast"/>
      <w:outlineLvl w:val="2"/>
    </w:pPr>
    <w:rPr>
      <w:rFonts w:eastAsia="Times New Roman"/>
      <w:i/>
      <w:kern w:val="20"/>
      <w:sz w:val="22"/>
      <w:szCs w:val="20"/>
    </w:rPr>
  </w:style>
  <w:style w:type="paragraph" w:styleId="Heading4">
    <w:name w:val="heading 4"/>
    <w:basedOn w:val="Normal"/>
    <w:next w:val="BodyText"/>
    <w:qFormat/>
    <w:rsid w:val="003A19C4"/>
    <w:pPr>
      <w:keepNext/>
      <w:keepLines/>
      <w:spacing w:line="240" w:lineRule="atLeast"/>
      <w:outlineLvl w:val="3"/>
    </w:pPr>
    <w:rPr>
      <w:rFonts w:eastAsia="Times New Roman"/>
      <w:caps/>
      <w:kern w:val="20"/>
      <w:sz w:val="18"/>
      <w:szCs w:val="20"/>
    </w:rPr>
  </w:style>
  <w:style w:type="paragraph" w:styleId="Heading5">
    <w:name w:val="heading 5"/>
    <w:basedOn w:val="Normal"/>
    <w:next w:val="BodyText"/>
    <w:qFormat/>
    <w:rsid w:val="003A19C4"/>
    <w:pPr>
      <w:keepNext/>
      <w:keepLines/>
      <w:spacing w:line="240" w:lineRule="atLeast"/>
      <w:outlineLvl w:val="4"/>
    </w:pPr>
    <w:rPr>
      <w:rFonts w:eastAsia="Times New Roman"/>
      <w:kern w:val="2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3A19C4"/>
    <w:pPr>
      <w:spacing w:after="240" w:line="240" w:lineRule="atLeast"/>
      <w:ind w:firstLine="360"/>
      <w:jc w:val="both"/>
    </w:pPr>
    <w:rPr>
      <w:rFonts w:eastAsia="Times New Roman"/>
      <w:sz w:val="22"/>
      <w:szCs w:val="20"/>
    </w:rPr>
  </w:style>
  <w:style w:type="paragraph" w:styleId="Closing">
    <w:name w:val="Closing"/>
    <w:basedOn w:val="Normal"/>
    <w:next w:val="Normal"/>
    <w:semiHidden/>
    <w:rsid w:val="003A19C4"/>
    <w:pPr>
      <w:spacing w:line="220" w:lineRule="atLeast"/>
    </w:pPr>
    <w:rPr>
      <w:rFonts w:eastAsia="Times New Roman"/>
      <w:sz w:val="22"/>
      <w:szCs w:val="20"/>
    </w:rPr>
  </w:style>
  <w:style w:type="paragraph" w:customStyle="1" w:styleId="CompanyName">
    <w:name w:val="Company Name"/>
    <w:basedOn w:val="BodyText"/>
    <w:rsid w:val="003A19C4"/>
    <w:pPr>
      <w:keepLines/>
      <w:framePr w:w="8640" w:h="1440" w:wrap="notBeside" w:vAnchor="page" w:hAnchor="margin" w:xAlign="center" w:y="889"/>
      <w:spacing w:after="40"/>
      <w:ind w:firstLine="0"/>
      <w:jc w:val="center"/>
    </w:pPr>
    <w:rPr>
      <w:caps/>
      <w:spacing w:val="75"/>
    </w:rPr>
  </w:style>
  <w:style w:type="paragraph" w:customStyle="1" w:styleId="DocumentLabel">
    <w:name w:val="Document Label"/>
    <w:next w:val="Normal"/>
    <w:rsid w:val="003A19C4"/>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customStyle="1" w:styleId="Enclosure">
    <w:name w:val="Enclosure"/>
    <w:basedOn w:val="BodyText"/>
    <w:next w:val="Normal"/>
    <w:rsid w:val="003A19C4"/>
    <w:pPr>
      <w:keepLines/>
      <w:spacing w:before="220"/>
      <w:ind w:firstLine="0"/>
    </w:pPr>
  </w:style>
  <w:style w:type="paragraph" w:customStyle="1" w:styleId="HeaderBase">
    <w:name w:val="Header Base"/>
    <w:basedOn w:val="BodyText"/>
    <w:rsid w:val="003A19C4"/>
    <w:pPr>
      <w:keepLines/>
      <w:tabs>
        <w:tab w:val="center" w:pos="4320"/>
        <w:tab w:val="right" w:pos="8640"/>
      </w:tabs>
      <w:spacing w:after="0"/>
    </w:pPr>
  </w:style>
  <w:style w:type="paragraph" w:styleId="Footer">
    <w:name w:val="footer"/>
    <w:basedOn w:val="HeaderBase"/>
    <w:semiHidden/>
    <w:rsid w:val="003A19C4"/>
    <w:pPr>
      <w:spacing w:before="600"/>
      <w:ind w:right="-240" w:firstLine="0"/>
      <w:jc w:val="center"/>
    </w:pPr>
    <w:rPr>
      <w:kern w:val="18"/>
    </w:rPr>
  </w:style>
  <w:style w:type="paragraph" w:styleId="Header">
    <w:name w:val="header"/>
    <w:basedOn w:val="HeaderBase"/>
    <w:semiHidden/>
    <w:rsid w:val="003A19C4"/>
    <w:pPr>
      <w:spacing w:after="660"/>
      <w:ind w:firstLine="0"/>
      <w:jc w:val="center"/>
    </w:pPr>
    <w:rPr>
      <w:caps/>
      <w:kern w:val="18"/>
      <w:sz w:val="18"/>
    </w:rPr>
  </w:style>
  <w:style w:type="paragraph" w:customStyle="1" w:styleId="HeadingBase">
    <w:name w:val="Heading Base"/>
    <w:basedOn w:val="BodyText"/>
    <w:next w:val="BodyText"/>
    <w:rsid w:val="003A19C4"/>
    <w:pPr>
      <w:keepNext/>
      <w:keepLines/>
      <w:spacing w:after="0"/>
      <w:ind w:firstLine="0"/>
      <w:jc w:val="left"/>
    </w:pPr>
    <w:rPr>
      <w:kern w:val="20"/>
    </w:rPr>
  </w:style>
  <w:style w:type="paragraph" w:styleId="MessageHeader">
    <w:name w:val="Message Header"/>
    <w:basedOn w:val="BodyText"/>
    <w:semiHidden/>
    <w:rsid w:val="003A19C4"/>
    <w:pPr>
      <w:keepLines/>
      <w:spacing w:after="120"/>
      <w:ind w:left="1080" w:hanging="1080"/>
      <w:jc w:val="left"/>
    </w:pPr>
    <w:rPr>
      <w:caps/>
      <w:sz w:val="18"/>
    </w:rPr>
  </w:style>
  <w:style w:type="paragraph" w:customStyle="1" w:styleId="MessageHeaderFirst">
    <w:name w:val="Message Header First"/>
    <w:basedOn w:val="MessageHeader"/>
    <w:next w:val="MessageHeader"/>
    <w:rsid w:val="003A19C4"/>
    <w:pPr>
      <w:spacing w:before="360"/>
    </w:pPr>
  </w:style>
  <w:style w:type="character" w:customStyle="1" w:styleId="MessageHeaderLabel">
    <w:name w:val="Message Header Label"/>
    <w:rsid w:val="003A19C4"/>
    <w:rPr>
      <w:b/>
      <w:sz w:val="18"/>
    </w:rPr>
  </w:style>
  <w:style w:type="paragraph" w:customStyle="1" w:styleId="MessageHeaderLast">
    <w:name w:val="Message Header Last"/>
    <w:basedOn w:val="MessageHeader"/>
    <w:next w:val="BodyText"/>
    <w:rsid w:val="003A19C4"/>
    <w:pPr>
      <w:pBdr>
        <w:bottom w:val="single" w:sz="6" w:space="18" w:color="808080"/>
      </w:pBdr>
      <w:spacing w:after="360"/>
    </w:pPr>
  </w:style>
  <w:style w:type="paragraph" w:styleId="NormalIndent">
    <w:name w:val="Normal Indent"/>
    <w:basedOn w:val="Normal"/>
    <w:semiHidden/>
    <w:rsid w:val="003A19C4"/>
    <w:pPr>
      <w:spacing w:line="240" w:lineRule="auto"/>
      <w:ind w:left="720"/>
    </w:pPr>
    <w:rPr>
      <w:rFonts w:eastAsia="Times New Roman"/>
      <w:sz w:val="22"/>
      <w:szCs w:val="20"/>
    </w:rPr>
  </w:style>
  <w:style w:type="character" w:styleId="PageNumber">
    <w:name w:val="page number"/>
    <w:semiHidden/>
    <w:rsid w:val="003A19C4"/>
  </w:style>
  <w:style w:type="paragraph" w:customStyle="1" w:styleId="ReturnAddress">
    <w:name w:val="Return Address"/>
    <w:rsid w:val="003A19C4"/>
    <w:pPr>
      <w:framePr w:w="8640" w:hSpace="187" w:vSpace="187" w:wrap="notBeside" w:vAnchor="page" w:hAnchor="margin" w:xAlign="center" w:y="14401" w:anchorLock="1"/>
      <w:spacing w:line="240" w:lineRule="atLeast"/>
      <w:ind w:right="-240"/>
      <w:jc w:val="center"/>
    </w:pPr>
    <w:rPr>
      <w:rFonts w:ascii="Garamond" w:hAnsi="Garamond"/>
      <w:caps/>
      <w:spacing w:val="30"/>
      <w:sz w:val="15"/>
    </w:rPr>
  </w:style>
  <w:style w:type="paragraph" w:styleId="Signature">
    <w:name w:val="Signature"/>
    <w:basedOn w:val="BodyText"/>
    <w:next w:val="Normal"/>
    <w:semiHidden/>
    <w:rsid w:val="003A19C4"/>
    <w:pPr>
      <w:keepNext/>
      <w:keepLines/>
      <w:spacing w:before="660" w:after="0"/>
    </w:pPr>
  </w:style>
  <w:style w:type="paragraph" w:customStyle="1" w:styleId="SignatureJobTitle">
    <w:name w:val="Signature Job Title"/>
    <w:basedOn w:val="Signature"/>
    <w:next w:val="Normal"/>
    <w:rsid w:val="003A19C4"/>
    <w:pPr>
      <w:spacing w:before="0"/>
      <w:ind w:firstLine="0"/>
    </w:pPr>
  </w:style>
  <w:style w:type="paragraph" w:customStyle="1" w:styleId="SignatureName">
    <w:name w:val="Signature Name"/>
    <w:basedOn w:val="Signature"/>
    <w:next w:val="SignatureJobTitle"/>
    <w:rsid w:val="003A19C4"/>
    <w:pPr>
      <w:ind w:firstLine="0"/>
    </w:pPr>
  </w:style>
  <w:style w:type="character" w:customStyle="1" w:styleId="Slogan">
    <w:name w:val="Slogan"/>
    <w:basedOn w:val="DefaultParagraphFont"/>
    <w:rsid w:val="003A19C4"/>
    <w:rPr>
      <w:i/>
      <w:spacing w:val="70"/>
      <w:sz w:val="21"/>
    </w:rPr>
  </w:style>
  <w:style w:type="paragraph" w:styleId="BalloonText">
    <w:name w:val="Balloon Text"/>
    <w:basedOn w:val="Normal"/>
    <w:link w:val="BalloonTextChar"/>
    <w:uiPriority w:val="99"/>
    <w:semiHidden/>
    <w:unhideWhenUsed/>
    <w:rsid w:val="00FB726B"/>
    <w:pPr>
      <w:spacing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B726B"/>
    <w:rPr>
      <w:rFonts w:ascii="Tahoma" w:hAnsi="Tahoma" w:cs="Tahoma"/>
      <w:sz w:val="16"/>
      <w:szCs w:val="16"/>
    </w:rPr>
  </w:style>
  <w:style w:type="table" w:styleId="TableGrid">
    <w:name w:val="Table Grid"/>
    <w:basedOn w:val="TableNormal"/>
    <w:uiPriority w:val="59"/>
    <w:rsid w:val="005A6A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402F57"/>
    <w:rPr>
      <w:sz w:val="16"/>
      <w:szCs w:val="16"/>
    </w:rPr>
  </w:style>
  <w:style w:type="paragraph" w:styleId="CommentText">
    <w:name w:val="annotation text"/>
    <w:basedOn w:val="Normal"/>
    <w:link w:val="CommentTextChar"/>
    <w:uiPriority w:val="99"/>
    <w:semiHidden/>
    <w:unhideWhenUsed/>
    <w:rsid w:val="00402F57"/>
    <w:rPr>
      <w:sz w:val="20"/>
      <w:szCs w:val="20"/>
    </w:rPr>
  </w:style>
  <w:style w:type="character" w:customStyle="1" w:styleId="CommentTextChar">
    <w:name w:val="Comment Text Char"/>
    <w:basedOn w:val="DefaultParagraphFont"/>
    <w:link w:val="CommentText"/>
    <w:uiPriority w:val="99"/>
    <w:semiHidden/>
    <w:rsid w:val="00402F57"/>
    <w:rPr>
      <w:rFonts w:ascii="Garamond" w:eastAsia="Calibri" w:hAnsi="Garamond"/>
    </w:rPr>
  </w:style>
  <w:style w:type="paragraph" w:styleId="CommentSubject">
    <w:name w:val="annotation subject"/>
    <w:basedOn w:val="CommentText"/>
    <w:next w:val="CommentText"/>
    <w:link w:val="CommentSubjectChar"/>
    <w:uiPriority w:val="99"/>
    <w:semiHidden/>
    <w:unhideWhenUsed/>
    <w:rsid w:val="00402F57"/>
    <w:rPr>
      <w:b/>
      <w:bCs/>
    </w:rPr>
  </w:style>
  <w:style w:type="character" w:customStyle="1" w:styleId="CommentSubjectChar">
    <w:name w:val="Comment Subject Char"/>
    <w:basedOn w:val="CommentTextChar"/>
    <w:link w:val="CommentSubject"/>
    <w:uiPriority w:val="99"/>
    <w:semiHidden/>
    <w:rsid w:val="00402F57"/>
    <w:rPr>
      <w:rFonts w:ascii="Garamond" w:eastAsia="Calibri" w:hAnsi="Garamond"/>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4B6"/>
    <w:pPr>
      <w:spacing w:line="276" w:lineRule="auto"/>
    </w:pPr>
    <w:rPr>
      <w:rFonts w:ascii="Garamond" w:eastAsia="Calibri" w:hAnsi="Garamond"/>
      <w:sz w:val="24"/>
      <w:szCs w:val="24"/>
    </w:rPr>
  </w:style>
  <w:style w:type="paragraph" w:styleId="Heading1">
    <w:name w:val="heading 1"/>
    <w:basedOn w:val="Normal"/>
    <w:next w:val="BodyText"/>
    <w:qFormat/>
    <w:pPr>
      <w:keepNext/>
      <w:keepLines/>
      <w:spacing w:after="180" w:line="240" w:lineRule="atLeast"/>
      <w:jc w:val="center"/>
      <w:outlineLvl w:val="0"/>
    </w:pPr>
    <w:rPr>
      <w:rFonts w:eastAsia="Times New Roman"/>
      <w:caps/>
      <w:spacing w:val="20"/>
      <w:kern w:val="20"/>
      <w:sz w:val="18"/>
      <w:szCs w:val="20"/>
    </w:rPr>
  </w:style>
  <w:style w:type="paragraph" w:styleId="Heading2">
    <w:name w:val="heading 2"/>
    <w:basedOn w:val="Normal"/>
    <w:next w:val="BodyText"/>
    <w:qFormat/>
    <w:pPr>
      <w:keepNext/>
      <w:keepLines/>
      <w:spacing w:after="170" w:line="240" w:lineRule="atLeast"/>
      <w:outlineLvl w:val="1"/>
    </w:pPr>
    <w:rPr>
      <w:rFonts w:eastAsia="Times New Roman"/>
      <w:caps/>
      <w:kern w:val="20"/>
      <w:sz w:val="22"/>
      <w:szCs w:val="20"/>
    </w:rPr>
  </w:style>
  <w:style w:type="paragraph" w:styleId="Heading3">
    <w:name w:val="heading 3"/>
    <w:basedOn w:val="Normal"/>
    <w:next w:val="BodyText"/>
    <w:qFormat/>
    <w:pPr>
      <w:keepNext/>
      <w:keepLines/>
      <w:spacing w:after="240" w:line="240" w:lineRule="atLeast"/>
      <w:outlineLvl w:val="2"/>
    </w:pPr>
    <w:rPr>
      <w:rFonts w:eastAsia="Times New Roman"/>
      <w:i/>
      <w:kern w:val="20"/>
      <w:sz w:val="22"/>
      <w:szCs w:val="20"/>
    </w:rPr>
  </w:style>
  <w:style w:type="paragraph" w:styleId="Heading4">
    <w:name w:val="heading 4"/>
    <w:basedOn w:val="Normal"/>
    <w:next w:val="BodyText"/>
    <w:qFormat/>
    <w:pPr>
      <w:keepNext/>
      <w:keepLines/>
      <w:spacing w:line="240" w:lineRule="atLeast"/>
      <w:outlineLvl w:val="3"/>
    </w:pPr>
    <w:rPr>
      <w:rFonts w:eastAsia="Times New Roman"/>
      <w:caps/>
      <w:kern w:val="20"/>
      <w:sz w:val="18"/>
      <w:szCs w:val="20"/>
    </w:rPr>
  </w:style>
  <w:style w:type="paragraph" w:styleId="Heading5">
    <w:name w:val="heading 5"/>
    <w:basedOn w:val="Normal"/>
    <w:next w:val="BodyText"/>
    <w:qFormat/>
    <w:pPr>
      <w:keepNext/>
      <w:keepLines/>
      <w:spacing w:line="240" w:lineRule="atLeast"/>
      <w:outlineLvl w:val="4"/>
    </w:pPr>
    <w:rPr>
      <w:rFonts w:eastAsia="Times New Roman"/>
      <w:kern w:val="2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240" w:line="240" w:lineRule="atLeast"/>
      <w:ind w:firstLine="360"/>
      <w:jc w:val="both"/>
    </w:pPr>
    <w:rPr>
      <w:rFonts w:eastAsia="Times New Roman"/>
      <w:sz w:val="22"/>
      <w:szCs w:val="20"/>
    </w:rPr>
  </w:style>
  <w:style w:type="paragraph" w:styleId="Closing">
    <w:name w:val="Closing"/>
    <w:basedOn w:val="Normal"/>
    <w:next w:val="Normal"/>
    <w:semiHidden/>
    <w:pPr>
      <w:spacing w:line="220" w:lineRule="atLeast"/>
    </w:pPr>
    <w:rPr>
      <w:rFonts w:eastAsia="Times New Roman"/>
      <w:sz w:val="22"/>
      <w:szCs w:val="20"/>
    </w:rPr>
  </w:style>
  <w:style w:type="paragraph" w:customStyle="1" w:styleId="CompanyName">
    <w:name w:val="Company Name"/>
    <w:basedOn w:val="BodyText"/>
    <w:pPr>
      <w:keepLines/>
      <w:framePr w:w="8640" w:h="1440" w:wrap="notBeside" w:vAnchor="page" w:hAnchor="margin" w:xAlign="center" w:y="889"/>
      <w:spacing w:after="40"/>
      <w:ind w:firstLine="0"/>
      <w:jc w:val="center"/>
    </w:pPr>
    <w:rPr>
      <w:caps/>
      <w:spacing w:val="75"/>
    </w:rPr>
  </w:style>
  <w:style w:type="paragraph" w:customStyle="1" w:styleId="DocumentLabel">
    <w:name w:val="Document Label"/>
    <w:next w:val="Normal"/>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customStyle="1" w:styleId="Enclosure">
    <w:name w:val="Enclosure"/>
    <w:basedOn w:val="BodyText"/>
    <w:next w:val="Normal"/>
    <w:pPr>
      <w:keepLines/>
      <w:spacing w:before="220"/>
      <w:ind w:firstLine="0"/>
    </w:pPr>
  </w:style>
  <w:style w:type="paragraph" w:customStyle="1" w:styleId="HeaderBase">
    <w:name w:val="Header Base"/>
    <w:basedOn w:val="BodyText"/>
    <w:pPr>
      <w:keepLines/>
      <w:tabs>
        <w:tab w:val="center" w:pos="4320"/>
        <w:tab w:val="right" w:pos="8640"/>
      </w:tabs>
      <w:spacing w:after="0"/>
    </w:pPr>
  </w:style>
  <w:style w:type="paragraph" w:styleId="Footer">
    <w:name w:val="footer"/>
    <w:basedOn w:val="HeaderBase"/>
    <w:semiHidden/>
    <w:pPr>
      <w:spacing w:before="600"/>
      <w:ind w:right="-240" w:firstLine="0"/>
      <w:jc w:val="center"/>
    </w:pPr>
    <w:rPr>
      <w:kern w:val="18"/>
    </w:rPr>
  </w:style>
  <w:style w:type="paragraph" w:styleId="Header">
    <w:name w:val="header"/>
    <w:basedOn w:val="HeaderBase"/>
    <w:semiHidden/>
    <w:pPr>
      <w:spacing w:after="660"/>
      <w:ind w:firstLine="0"/>
      <w:jc w:val="center"/>
    </w:pPr>
    <w:rPr>
      <w:caps/>
      <w:kern w:val="18"/>
      <w:sz w:val="18"/>
    </w:rPr>
  </w:style>
  <w:style w:type="paragraph" w:customStyle="1" w:styleId="HeadingBase">
    <w:name w:val="Heading Base"/>
    <w:basedOn w:val="BodyText"/>
    <w:next w:val="BodyText"/>
    <w:pPr>
      <w:keepNext/>
      <w:keepLines/>
      <w:spacing w:after="0"/>
      <w:ind w:firstLine="0"/>
      <w:jc w:val="left"/>
    </w:pPr>
    <w:rPr>
      <w:kern w:val="20"/>
    </w:rPr>
  </w:style>
  <w:style w:type="paragraph" w:styleId="MessageHeader">
    <w:name w:val="Message Header"/>
    <w:basedOn w:val="BodyText"/>
    <w:semiHidden/>
    <w:pPr>
      <w:keepLines/>
      <w:spacing w:after="120"/>
      <w:ind w:left="1080" w:hanging="1080"/>
      <w:jc w:val="left"/>
    </w:pPr>
    <w:rPr>
      <w:caps/>
      <w:sz w:val="18"/>
    </w:rPr>
  </w:style>
  <w:style w:type="paragraph" w:customStyle="1" w:styleId="MessageHeaderFirst">
    <w:name w:val="Message Header First"/>
    <w:basedOn w:val="MessageHeader"/>
    <w:next w:val="MessageHeader"/>
    <w:pPr>
      <w:spacing w:before="360"/>
    </w:pPr>
  </w:style>
  <w:style w:type="character" w:customStyle="1" w:styleId="MessageHeaderLabel">
    <w:name w:val="Message Header Label"/>
    <w:rPr>
      <w:b/>
      <w:sz w:val="18"/>
    </w:rPr>
  </w:style>
  <w:style w:type="paragraph" w:customStyle="1" w:styleId="MessageHeaderLast">
    <w:name w:val="Message Header Last"/>
    <w:basedOn w:val="MessageHeader"/>
    <w:next w:val="BodyText"/>
    <w:pPr>
      <w:pBdr>
        <w:bottom w:val="single" w:sz="6" w:space="18" w:color="808080"/>
      </w:pBdr>
      <w:spacing w:after="360"/>
    </w:pPr>
  </w:style>
  <w:style w:type="paragraph" w:styleId="NormalIndent">
    <w:name w:val="Normal Indent"/>
    <w:basedOn w:val="Normal"/>
    <w:semiHidden/>
    <w:pPr>
      <w:spacing w:line="240" w:lineRule="auto"/>
      <w:ind w:left="720"/>
    </w:pPr>
    <w:rPr>
      <w:rFonts w:eastAsia="Times New Roman"/>
      <w:sz w:val="22"/>
      <w:szCs w:val="20"/>
    </w:rPr>
  </w:style>
  <w:style w:type="character" w:styleId="PageNumber">
    <w:name w:val="page number"/>
    <w:semiHidden/>
  </w:style>
  <w:style w:type="paragraph" w:customStyle="1" w:styleId="ReturnAddress">
    <w:name w:val="Return Address"/>
    <w:pPr>
      <w:framePr w:w="8640" w:hSpace="187" w:vSpace="187" w:wrap="notBeside" w:vAnchor="page" w:hAnchor="margin" w:xAlign="center" w:y="14401" w:anchorLock="1"/>
      <w:spacing w:line="240" w:lineRule="atLeast"/>
      <w:ind w:right="-240"/>
      <w:jc w:val="center"/>
    </w:pPr>
    <w:rPr>
      <w:rFonts w:ascii="Garamond" w:hAnsi="Garamond"/>
      <w:caps/>
      <w:spacing w:val="30"/>
      <w:sz w:val="15"/>
    </w:rPr>
  </w:style>
  <w:style w:type="paragraph" w:styleId="Signature">
    <w:name w:val="Signature"/>
    <w:basedOn w:val="BodyText"/>
    <w:next w:val="Normal"/>
    <w:semiHidden/>
    <w:pPr>
      <w:keepNext/>
      <w:keepLines/>
      <w:spacing w:before="660" w:after="0"/>
    </w:pPr>
  </w:style>
  <w:style w:type="paragraph" w:customStyle="1" w:styleId="SignatureJobTitle">
    <w:name w:val="Signature Job Title"/>
    <w:basedOn w:val="Signature"/>
    <w:next w:val="Normal"/>
    <w:pPr>
      <w:spacing w:before="0"/>
      <w:ind w:firstLine="0"/>
    </w:pPr>
  </w:style>
  <w:style w:type="paragraph" w:customStyle="1" w:styleId="SignatureName">
    <w:name w:val="Signature Name"/>
    <w:basedOn w:val="Signature"/>
    <w:next w:val="SignatureJobTitle"/>
    <w:pPr>
      <w:ind w:firstLine="0"/>
    </w:pPr>
  </w:style>
  <w:style w:type="character" w:customStyle="1" w:styleId="Slogan">
    <w:name w:val="Slogan"/>
    <w:basedOn w:val="DefaultParagraphFont"/>
    <w:rPr>
      <w:i/>
      <w:spacing w:val="70"/>
      <w:sz w:val="21"/>
    </w:rPr>
  </w:style>
  <w:style w:type="paragraph" w:styleId="BalloonText">
    <w:name w:val="Balloon Text"/>
    <w:basedOn w:val="Normal"/>
    <w:link w:val="BalloonTextChar"/>
    <w:uiPriority w:val="99"/>
    <w:semiHidden/>
    <w:unhideWhenUsed/>
    <w:rsid w:val="00FB726B"/>
    <w:pPr>
      <w:spacing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B726B"/>
    <w:rPr>
      <w:rFonts w:ascii="Tahoma" w:hAnsi="Tahoma" w:cs="Tahoma"/>
      <w:sz w:val="16"/>
      <w:szCs w:val="16"/>
    </w:rPr>
  </w:style>
  <w:style w:type="table" w:styleId="TableGrid">
    <w:name w:val="Table Grid"/>
    <w:basedOn w:val="TableNormal"/>
    <w:uiPriority w:val="59"/>
    <w:rsid w:val="005A6A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402F57"/>
    <w:rPr>
      <w:sz w:val="16"/>
      <w:szCs w:val="16"/>
    </w:rPr>
  </w:style>
  <w:style w:type="paragraph" w:styleId="CommentText">
    <w:name w:val="annotation text"/>
    <w:basedOn w:val="Normal"/>
    <w:link w:val="CommentTextChar"/>
    <w:uiPriority w:val="99"/>
    <w:semiHidden/>
    <w:unhideWhenUsed/>
    <w:rsid w:val="00402F57"/>
    <w:rPr>
      <w:sz w:val="20"/>
      <w:szCs w:val="20"/>
    </w:rPr>
  </w:style>
  <w:style w:type="character" w:customStyle="1" w:styleId="CommentTextChar">
    <w:name w:val="Comment Text Char"/>
    <w:basedOn w:val="DefaultParagraphFont"/>
    <w:link w:val="CommentText"/>
    <w:uiPriority w:val="99"/>
    <w:semiHidden/>
    <w:rsid w:val="00402F57"/>
    <w:rPr>
      <w:rFonts w:ascii="Garamond" w:eastAsia="Calibri" w:hAnsi="Garamond"/>
    </w:rPr>
  </w:style>
  <w:style w:type="paragraph" w:styleId="CommentSubject">
    <w:name w:val="annotation subject"/>
    <w:basedOn w:val="CommentText"/>
    <w:next w:val="CommentText"/>
    <w:link w:val="CommentSubjectChar"/>
    <w:uiPriority w:val="99"/>
    <w:semiHidden/>
    <w:unhideWhenUsed/>
    <w:rsid w:val="00402F57"/>
    <w:rPr>
      <w:b/>
      <w:bCs/>
    </w:rPr>
  </w:style>
  <w:style w:type="character" w:customStyle="1" w:styleId="CommentSubjectChar">
    <w:name w:val="Comment Subject Char"/>
    <w:basedOn w:val="CommentTextChar"/>
    <w:link w:val="CommentSubject"/>
    <w:uiPriority w:val="99"/>
    <w:semiHidden/>
    <w:rsid w:val="00402F57"/>
    <w:rPr>
      <w:rFonts w:ascii="Garamond" w:eastAsia="Calibri" w:hAnsi="Garamond"/>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tt\AppData\Roaming\Microsoft\Templates\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Memo.dot</Template>
  <TotalTime>3</TotalTime>
  <Pages>2</Pages>
  <Words>791</Words>
  <Characters>4610</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McBain</dc:creator>
  <cp:lastModifiedBy>hvtc</cp:lastModifiedBy>
  <cp:revision>2</cp:revision>
  <dcterms:created xsi:type="dcterms:W3CDTF">2012-02-02T17:02:00Z</dcterms:created>
  <dcterms:modified xsi:type="dcterms:W3CDTF">2012-02-02T17:02:00Z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TC010129231033</vt:lpwstr>
  </property>
</Properties>
</file>