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5882037"/>
    <w:bookmarkEnd w:id="0"/>
    <w:p w14:paraId="6B43D7D1" w14:textId="77777777" w:rsidR="00763FDA" w:rsidRDefault="00763FDA" w:rsidP="00763FDA">
      <w:pPr>
        <w:spacing w:after="0" w:line="240" w:lineRule="auto"/>
      </w:pPr>
      <w:r w:rsidRPr="007D689B">
        <w:rPr>
          <w:noProof/>
        </w:rPr>
        <mc:AlternateContent>
          <mc:Choice Requires="wps">
            <w:drawing>
              <wp:anchor distT="0" distB="0" distL="114300" distR="114300" simplePos="0" relativeHeight="251659264" behindDoc="0" locked="0" layoutInCell="1" allowOverlap="1" wp14:anchorId="16F458EB" wp14:editId="3703E1F3">
                <wp:simplePos x="0" y="0"/>
                <wp:positionH relativeFrom="page">
                  <wp:posOffset>2000250</wp:posOffset>
                </wp:positionH>
                <wp:positionV relativeFrom="paragraph">
                  <wp:posOffset>-200025</wp:posOffset>
                </wp:positionV>
                <wp:extent cx="6055995" cy="876300"/>
                <wp:effectExtent l="0" t="0" r="1905"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5995" cy="876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B16E6E" w14:textId="77777777" w:rsidR="00763FDA" w:rsidRDefault="00763FDA" w:rsidP="00763FDA">
                            <w:pPr>
                              <w:pStyle w:val="Heading1"/>
                              <w:spacing w:line="192" w:lineRule="auto"/>
                              <w:rPr>
                                <w:color w:val="3399FF"/>
                                <w:sz w:val="34"/>
                                <w:szCs w:val="34"/>
                              </w:rPr>
                            </w:pPr>
                            <w:r>
                              <w:rPr>
                                <w:color w:val="3399FF"/>
                                <w:sz w:val="34"/>
                                <w:szCs w:val="34"/>
                              </w:rPr>
                              <w:t>Trinity River Restoration Program</w:t>
                            </w:r>
                          </w:p>
                          <w:p w14:paraId="5DE62C67" w14:textId="77777777" w:rsidR="00763FDA" w:rsidRDefault="00763FDA" w:rsidP="00763FDA">
                            <w:pPr>
                              <w:spacing w:line="192" w:lineRule="auto"/>
                            </w:pPr>
                            <w:r>
                              <w:rPr>
                                <w:noProof/>
                              </w:rPr>
                              <w:drawing>
                                <wp:inline distT="0" distB="0" distL="0" distR="0" wp14:anchorId="10F8C33A" wp14:editId="32663C39">
                                  <wp:extent cx="4914900" cy="630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flipV="1">
                                            <a:off x="0" y="0"/>
                                            <a:ext cx="10278485" cy="131776"/>
                                          </a:xfrm>
                                          <a:prstGeom prst="rect">
                                            <a:avLst/>
                                          </a:prstGeom>
                                          <a:noFill/>
                                          <a:ln>
                                            <a:noFill/>
                                          </a:ln>
                                        </pic:spPr>
                                      </pic:pic>
                                    </a:graphicData>
                                  </a:graphic>
                                </wp:inline>
                              </w:drawing>
                            </w:r>
                          </w:p>
                          <w:p w14:paraId="62425F55" w14:textId="77777777" w:rsidR="00763FDA" w:rsidRDefault="00763FDA" w:rsidP="00763FDA">
                            <w:pPr>
                              <w:spacing w:line="192" w:lineRule="auto"/>
                            </w:pPr>
                            <w:r w:rsidRPr="009D4E71">
                              <w:rPr>
                                <w:noProof/>
                              </w:rPr>
                              <w:drawing>
                                <wp:inline distT="0" distB="0" distL="0" distR="0" wp14:anchorId="17211A5F" wp14:editId="6BFD62CF">
                                  <wp:extent cx="4705350" cy="400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05350" cy="400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F458EB" id="_x0000_t202" coordsize="21600,21600" o:spt="202" path="m,l,21600r21600,l21600,xe">
                <v:stroke joinstyle="miter"/>
                <v:path gradientshapeok="t" o:connecttype="rect"/>
              </v:shapetype>
              <v:shape id="Text Box 4" o:spid="_x0000_s1026" type="#_x0000_t202" style="position:absolute;margin-left:157.5pt;margin-top:-15.75pt;width:476.85pt;height:6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" stroked="f">
                <v:textbox>
                  <w:txbxContent>
                    <w:p w14:paraId="1CB16E6E" w14:textId="77777777" w:rsidR="00763FDA" w:rsidRDefault="00763FDA" w:rsidP="00763FDA">
                      <w:pPr>
                        <w:pStyle w:val="Heading1"/>
                        <w:spacing w:line="192" w:lineRule="auto"/>
                        <w:rPr>
                          <w:color w:val="3399FF"/>
                          <w:sz w:val="34"/>
                          <w:szCs w:val="34"/>
                        </w:rPr>
                      </w:pPr>
                      <w:r>
                        <w:rPr>
                          <w:color w:val="3399FF"/>
                          <w:sz w:val="34"/>
                          <w:szCs w:val="34"/>
                        </w:rPr>
                        <w:t>Trinity River Restoration Program</w:t>
                      </w:r>
                    </w:p>
                    <w:p w14:paraId="5DE62C67" w14:textId="77777777" w:rsidR="00763FDA" w:rsidRDefault="00763FDA" w:rsidP="00763FDA">
                      <w:pPr>
                        <w:spacing w:line="192" w:lineRule="auto"/>
                      </w:pPr>
                      <w:r>
                        <w:rPr>
                          <w:noProof/>
                        </w:rPr>
                        <w:drawing>
                          <wp:inline distT="0" distB="0" distL="0" distR="0" wp14:anchorId="10F8C33A" wp14:editId="32663C39">
                            <wp:extent cx="4914900" cy="630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V="1">
                                      <a:off x="0" y="0"/>
                                      <a:ext cx="10278485" cy="131776"/>
                                    </a:xfrm>
                                    <a:prstGeom prst="rect">
                                      <a:avLst/>
                                    </a:prstGeom>
                                    <a:noFill/>
                                    <a:ln>
                                      <a:noFill/>
                                    </a:ln>
                                  </pic:spPr>
                                </pic:pic>
                              </a:graphicData>
                            </a:graphic>
                          </wp:inline>
                        </w:drawing>
                      </w:r>
                    </w:p>
                    <w:p w14:paraId="62425F55" w14:textId="77777777" w:rsidR="00763FDA" w:rsidRDefault="00763FDA" w:rsidP="00763FDA">
                      <w:pPr>
                        <w:spacing w:line="192" w:lineRule="auto"/>
                      </w:pPr>
                      <w:r w:rsidRPr="009D4E71">
                        <w:rPr>
                          <w:noProof/>
                        </w:rPr>
                        <w:drawing>
                          <wp:inline distT="0" distB="0" distL="0" distR="0" wp14:anchorId="17211A5F" wp14:editId="6BFD62CF">
                            <wp:extent cx="4705350" cy="400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5350" cy="400050"/>
                                    </a:xfrm>
                                    <a:prstGeom prst="rect">
                                      <a:avLst/>
                                    </a:prstGeom>
                                    <a:noFill/>
                                    <a:ln>
                                      <a:noFill/>
                                    </a:ln>
                                  </pic:spPr>
                                </pic:pic>
                              </a:graphicData>
                            </a:graphic>
                          </wp:inline>
                        </w:drawing>
                      </w:r>
                    </w:p>
                  </w:txbxContent>
                </v:textbox>
                <w10:wrap anchorx="page"/>
              </v:shape>
            </w:pict>
          </mc:Fallback>
        </mc:AlternateContent>
      </w:r>
      <w:r w:rsidRPr="007D689B">
        <w:rPr>
          <w:noProof/>
        </w:rPr>
        <w:drawing>
          <wp:anchor distT="0" distB="0" distL="114300" distR="114300" simplePos="0" relativeHeight="251660288" behindDoc="0" locked="0" layoutInCell="1" allowOverlap="1" wp14:anchorId="2AFFF20F" wp14:editId="37F5E791">
            <wp:simplePos x="0" y="0"/>
            <wp:positionH relativeFrom="column">
              <wp:posOffset>0</wp:posOffset>
            </wp:positionH>
            <wp:positionV relativeFrom="paragraph">
              <wp:posOffset>-342900</wp:posOffset>
            </wp:positionV>
            <wp:extent cx="969010" cy="1028700"/>
            <wp:effectExtent l="0" t="0" r="254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9010" cy="1028700"/>
                    </a:xfrm>
                    <a:prstGeom prst="rect">
                      <a:avLst/>
                    </a:prstGeom>
                    <a:noFill/>
                    <a:ln>
                      <a:noFill/>
                    </a:ln>
                  </pic:spPr>
                </pic:pic>
              </a:graphicData>
            </a:graphic>
          </wp:anchor>
        </w:drawing>
      </w:r>
    </w:p>
    <w:p w14:paraId="275019A5" w14:textId="77777777" w:rsidR="00763FDA" w:rsidRPr="009D4E71" w:rsidRDefault="00763FDA" w:rsidP="00763FDA">
      <w:pPr>
        <w:spacing w:after="0" w:line="240" w:lineRule="auto"/>
      </w:pPr>
    </w:p>
    <w:p w14:paraId="46F499A5" w14:textId="77777777" w:rsidR="00763FDA" w:rsidRDefault="00763FDA" w:rsidP="00763FDA">
      <w:pPr>
        <w:spacing w:after="0" w:line="240" w:lineRule="auto"/>
      </w:pPr>
    </w:p>
    <w:p w14:paraId="30B72C74" w14:textId="77777777" w:rsidR="00763FDA" w:rsidRDefault="00763FDA" w:rsidP="00763FDA">
      <w:pPr>
        <w:tabs>
          <w:tab w:val="left" w:pos="2355"/>
        </w:tabs>
        <w:spacing w:after="0" w:line="240" w:lineRule="auto"/>
      </w:pPr>
    </w:p>
    <w:p w14:paraId="7E312BFD" w14:textId="77777777" w:rsidR="00763FDA" w:rsidRDefault="00763FDA" w:rsidP="00763FDA">
      <w:pPr>
        <w:tabs>
          <w:tab w:val="left" w:pos="2355"/>
        </w:tabs>
        <w:spacing w:after="0" w:line="240" w:lineRule="auto"/>
        <w:rPr>
          <w:sz w:val="24"/>
          <w:szCs w:val="24"/>
        </w:rPr>
      </w:pPr>
    </w:p>
    <w:p w14:paraId="3F717E8C" w14:textId="1CE65628" w:rsidR="00763FDA" w:rsidRPr="00C93FD0" w:rsidRDefault="00BA7481" w:rsidP="00763FDA">
      <w:pPr>
        <w:tabs>
          <w:tab w:val="left" w:pos="2355"/>
        </w:tabs>
        <w:spacing w:after="0" w:line="240" w:lineRule="auto"/>
        <w:rPr>
          <w:rFonts w:ascii="Times New Roman" w:hAnsi="Times New Roman" w:cs="Times New Roman"/>
          <w:sz w:val="24"/>
          <w:szCs w:val="24"/>
        </w:rPr>
      </w:pPr>
      <w:r>
        <w:rPr>
          <w:rFonts w:ascii="Times New Roman" w:hAnsi="Times New Roman" w:cs="Times New Roman"/>
          <w:sz w:val="24"/>
          <w:szCs w:val="24"/>
        </w:rPr>
        <w:t>January</w:t>
      </w:r>
      <w:r w:rsidR="00C93D0E">
        <w:rPr>
          <w:rFonts w:ascii="Times New Roman" w:hAnsi="Times New Roman" w:cs="Times New Roman"/>
          <w:sz w:val="24"/>
          <w:szCs w:val="24"/>
        </w:rPr>
        <w:t xml:space="preserve"> </w:t>
      </w:r>
      <w:r w:rsidRPr="00E10413">
        <w:rPr>
          <w:rFonts w:ascii="Times New Roman" w:hAnsi="Times New Roman" w:cs="Times New Roman"/>
          <w:sz w:val="24"/>
          <w:szCs w:val="24"/>
        </w:rPr>
        <w:t>11</w:t>
      </w:r>
      <w:r w:rsidR="00763FDA">
        <w:rPr>
          <w:rFonts w:ascii="Times New Roman" w:hAnsi="Times New Roman" w:cs="Times New Roman"/>
          <w:sz w:val="24"/>
          <w:szCs w:val="24"/>
        </w:rPr>
        <w:t>, 202</w:t>
      </w:r>
      <w:r>
        <w:rPr>
          <w:rFonts w:ascii="Times New Roman" w:hAnsi="Times New Roman" w:cs="Times New Roman"/>
          <w:sz w:val="24"/>
          <w:szCs w:val="24"/>
        </w:rPr>
        <w:t>4</w:t>
      </w:r>
    </w:p>
    <w:p w14:paraId="0010A199" w14:textId="77777777" w:rsidR="00763FDA" w:rsidRPr="00C93FD0" w:rsidRDefault="00763FDA" w:rsidP="00763FDA">
      <w:pPr>
        <w:tabs>
          <w:tab w:val="left" w:pos="2355"/>
        </w:tabs>
        <w:spacing w:after="0" w:line="240" w:lineRule="auto"/>
        <w:rPr>
          <w:rFonts w:ascii="Times New Roman" w:hAnsi="Times New Roman" w:cs="Times New Roman"/>
          <w:sz w:val="24"/>
          <w:szCs w:val="24"/>
        </w:rPr>
      </w:pPr>
    </w:p>
    <w:p w14:paraId="19140ACE" w14:textId="77777777" w:rsidR="00763FDA" w:rsidRPr="00C93FD0" w:rsidRDefault="00763FDA" w:rsidP="00763FDA">
      <w:pPr>
        <w:tabs>
          <w:tab w:val="left" w:pos="2355"/>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VIA ELECTRONIC MAIL ONLY</w:t>
      </w:r>
    </w:p>
    <w:p w14:paraId="30EF385C" w14:textId="77777777" w:rsidR="00763FDA" w:rsidRPr="00C93FD0" w:rsidRDefault="00763FDA" w:rsidP="00763FDA">
      <w:pPr>
        <w:tabs>
          <w:tab w:val="left" w:pos="2355"/>
        </w:tabs>
        <w:spacing w:after="0" w:line="240" w:lineRule="auto"/>
        <w:rPr>
          <w:rFonts w:ascii="Times New Roman" w:hAnsi="Times New Roman" w:cs="Times New Roman"/>
          <w:sz w:val="24"/>
          <w:szCs w:val="24"/>
        </w:rPr>
      </w:pPr>
    </w:p>
    <w:p w14:paraId="6451F968" w14:textId="77777777" w:rsidR="00763FDA" w:rsidRPr="00C93FD0" w:rsidRDefault="00763FDA" w:rsidP="00763FDA">
      <w:pPr>
        <w:tabs>
          <w:tab w:val="left" w:pos="2355"/>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Memorandum</w:t>
      </w:r>
    </w:p>
    <w:p w14:paraId="37D9E632" w14:textId="77777777" w:rsidR="00763FDA" w:rsidRPr="00C93FD0" w:rsidRDefault="00763FDA" w:rsidP="00763FDA">
      <w:pPr>
        <w:tabs>
          <w:tab w:val="left" w:pos="2355"/>
        </w:tabs>
        <w:spacing w:after="0" w:line="240" w:lineRule="auto"/>
        <w:rPr>
          <w:rFonts w:ascii="Times New Roman" w:hAnsi="Times New Roman" w:cs="Times New Roman"/>
          <w:sz w:val="24"/>
          <w:szCs w:val="24"/>
        </w:rPr>
      </w:pPr>
    </w:p>
    <w:p w14:paraId="3D60D6B8" w14:textId="134305CE" w:rsidR="0099070A" w:rsidRPr="00C93FD0" w:rsidRDefault="00763FDA" w:rsidP="0099070A">
      <w:pPr>
        <w:tabs>
          <w:tab w:val="left" w:pos="1080"/>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To:</w:t>
      </w:r>
      <w:r w:rsidRPr="00C93FD0">
        <w:rPr>
          <w:rFonts w:ascii="Times New Roman" w:hAnsi="Times New Roman" w:cs="Times New Roman"/>
          <w:sz w:val="24"/>
          <w:szCs w:val="24"/>
        </w:rPr>
        <w:tab/>
      </w:r>
      <w:r w:rsidR="00AF602F">
        <w:rPr>
          <w:rFonts w:ascii="Times New Roman" w:hAnsi="Times New Roman" w:cs="Times New Roman"/>
          <w:sz w:val="24"/>
          <w:szCs w:val="24"/>
        </w:rPr>
        <w:t>Don Bader</w:t>
      </w:r>
      <w:r w:rsidR="0099070A">
        <w:rPr>
          <w:rFonts w:ascii="Times New Roman" w:hAnsi="Times New Roman" w:cs="Times New Roman"/>
          <w:sz w:val="24"/>
          <w:szCs w:val="24"/>
        </w:rPr>
        <w:t xml:space="preserve">, </w:t>
      </w:r>
      <w:r w:rsidR="00AF602F">
        <w:rPr>
          <w:rFonts w:ascii="Times New Roman" w:hAnsi="Times New Roman" w:cs="Times New Roman"/>
          <w:sz w:val="24"/>
          <w:szCs w:val="24"/>
        </w:rPr>
        <w:t>Chair</w:t>
      </w:r>
      <w:r w:rsidR="0099070A">
        <w:rPr>
          <w:rFonts w:ascii="Times New Roman" w:hAnsi="Times New Roman" w:cs="Times New Roman"/>
          <w:sz w:val="24"/>
          <w:szCs w:val="24"/>
        </w:rPr>
        <w:t xml:space="preserve">, </w:t>
      </w:r>
      <w:r w:rsidR="00AF602F">
        <w:rPr>
          <w:rFonts w:ascii="Times New Roman" w:hAnsi="Times New Roman" w:cs="Times New Roman"/>
          <w:sz w:val="24"/>
          <w:szCs w:val="24"/>
        </w:rPr>
        <w:t>Trinity Management Council</w:t>
      </w:r>
      <w:r w:rsidR="0099070A">
        <w:rPr>
          <w:rFonts w:ascii="Times New Roman" w:hAnsi="Times New Roman" w:cs="Times New Roman"/>
          <w:sz w:val="24"/>
          <w:szCs w:val="24"/>
        </w:rPr>
        <w:tab/>
      </w:r>
      <w:r w:rsidR="0099070A">
        <w:rPr>
          <w:rFonts w:ascii="Times New Roman" w:hAnsi="Times New Roman" w:cs="Times New Roman"/>
          <w:sz w:val="24"/>
          <w:szCs w:val="24"/>
        </w:rPr>
        <w:tab/>
      </w:r>
      <w:r w:rsidR="0099070A">
        <w:rPr>
          <w:rFonts w:ascii="Times New Roman" w:hAnsi="Times New Roman" w:cs="Times New Roman"/>
          <w:sz w:val="24"/>
          <w:szCs w:val="24"/>
        </w:rPr>
        <w:tab/>
      </w:r>
    </w:p>
    <w:p w14:paraId="471A206B" w14:textId="77777777" w:rsidR="00763FDA" w:rsidRPr="00C93FD0" w:rsidRDefault="00763FDA" w:rsidP="00763FDA">
      <w:pPr>
        <w:tabs>
          <w:tab w:val="left" w:pos="2355"/>
        </w:tabs>
        <w:spacing w:after="0" w:line="240" w:lineRule="auto"/>
        <w:ind w:left="1080"/>
        <w:rPr>
          <w:rFonts w:ascii="Times New Roman" w:hAnsi="Times New Roman" w:cs="Times New Roman"/>
          <w:sz w:val="24"/>
          <w:szCs w:val="24"/>
        </w:rPr>
      </w:pPr>
    </w:p>
    <w:p w14:paraId="505A7EF7" w14:textId="50A79D63" w:rsidR="00763FDA" w:rsidRDefault="00763FDA" w:rsidP="00E6136A">
      <w:pPr>
        <w:tabs>
          <w:tab w:val="left" w:pos="1080"/>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From:</w:t>
      </w:r>
      <w:r>
        <w:rPr>
          <w:rFonts w:ascii="Times New Roman" w:hAnsi="Times New Roman" w:cs="Times New Roman"/>
          <w:sz w:val="24"/>
          <w:szCs w:val="24"/>
        </w:rPr>
        <w:tab/>
      </w:r>
      <w:r w:rsidR="00BA7481">
        <w:rPr>
          <w:rFonts w:ascii="Times New Roman" w:hAnsi="Times New Roman" w:cs="Times New Roman"/>
          <w:sz w:val="24"/>
          <w:szCs w:val="24"/>
        </w:rPr>
        <w:t>Ken Lindke</w:t>
      </w:r>
      <w:r w:rsidR="00E6136A">
        <w:rPr>
          <w:rFonts w:ascii="Times New Roman" w:hAnsi="Times New Roman" w:cs="Times New Roman"/>
          <w:sz w:val="24"/>
          <w:szCs w:val="24"/>
        </w:rPr>
        <w:t xml:space="preserve">, </w:t>
      </w:r>
      <w:r w:rsidR="0099070A">
        <w:rPr>
          <w:rFonts w:ascii="Times New Roman" w:hAnsi="Times New Roman" w:cs="Times New Roman"/>
          <w:sz w:val="24"/>
          <w:szCs w:val="24"/>
        </w:rPr>
        <w:t>Flow Work Group</w:t>
      </w:r>
      <w:r>
        <w:rPr>
          <w:rFonts w:ascii="Times New Roman" w:hAnsi="Times New Roman" w:cs="Times New Roman"/>
          <w:sz w:val="24"/>
          <w:szCs w:val="24"/>
        </w:rPr>
        <w:t xml:space="preserve"> Coordinator</w:t>
      </w:r>
    </w:p>
    <w:p w14:paraId="3AC59842" w14:textId="77777777" w:rsidR="00763FDA" w:rsidRPr="00C93FD0" w:rsidRDefault="00763FDA" w:rsidP="00763FDA">
      <w:pPr>
        <w:tabs>
          <w:tab w:val="left" w:pos="2355"/>
        </w:tabs>
        <w:spacing w:after="0" w:line="240" w:lineRule="auto"/>
        <w:ind w:left="1080"/>
        <w:rPr>
          <w:rFonts w:ascii="Times New Roman" w:hAnsi="Times New Roman" w:cs="Times New Roman"/>
          <w:sz w:val="24"/>
          <w:szCs w:val="24"/>
        </w:rPr>
      </w:pPr>
    </w:p>
    <w:p w14:paraId="496EDD3D" w14:textId="2DF7556E" w:rsidR="00763FDA" w:rsidRPr="00D10204" w:rsidRDefault="00763FDA" w:rsidP="00D10204">
      <w:pPr>
        <w:tabs>
          <w:tab w:val="left" w:pos="1080"/>
          <w:tab w:val="left" w:pos="1260"/>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Subject:</w:t>
      </w:r>
      <w:r w:rsidRPr="00C93FD0">
        <w:rPr>
          <w:rFonts w:ascii="Times New Roman" w:hAnsi="Times New Roman" w:cs="Times New Roman"/>
          <w:sz w:val="24"/>
          <w:szCs w:val="24"/>
        </w:rPr>
        <w:tab/>
      </w:r>
      <w:r w:rsidR="009E2E3D">
        <w:rPr>
          <w:rFonts w:ascii="Times New Roman" w:hAnsi="Times New Roman" w:cs="Times New Roman"/>
          <w:sz w:val="24"/>
          <w:szCs w:val="24"/>
        </w:rPr>
        <w:t>Water Year</w:t>
      </w:r>
      <w:r>
        <w:rPr>
          <w:rFonts w:ascii="Times New Roman" w:hAnsi="Times New Roman" w:cs="Times New Roman"/>
          <w:sz w:val="24"/>
          <w:szCs w:val="24"/>
        </w:rPr>
        <w:t xml:space="preserve"> 202</w:t>
      </w:r>
      <w:r w:rsidR="00BA7481">
        <w:rPr>
          <w:rFonts w:ascii="Times New Roman" w:hAnsi="Times New Roman" w:cs="Times New Roman"/>
          <w:sz w:val="24"/>
          <w:szCs w:val="24"/>
        </w:rPr>
        <w:t>4</w:t>
      </w:r>
      <w:r>
        <w:rPr>
          <w:rFonts w:ascii="Times New Roman" w:hAnsi="Times New Roman" w:cs="Times New Roman"/>
          <w:sz w:val="24"/>
          <w:szCs w:val="24"/>
        </w:rPr>
        <w:t xml:space="preserve"> </w:t>
      </w:r>
      <w:r w:rsidR="00BA7481">
        <w:rPr>
          <w:rFonts w:ascii="Times New Roman" w:hAnsi="Times New Roman" w:cs="Times New Roman"/>
          <w:sz w:val="24"/>
          <w:szCs w:val="24"/>
        </w:rPr>
        <w:t xml:space="preserve">Revised </w:t>
      </w:r>
      <w:r w:rsidR="009E2E3D">
        <w:rPr>
          <w:rFonts w:ascii="Times New Roman" w:hAnsi="Times New Roman" w:cs="Times New Roman"/>
          <w:sz w:val="24"/>
          <w:szCs w:val="24"/>
        </w:rPr>
        <w:t>Winter Flow Variability Recommendation</w:t>
      </w:r>
    </w:p>
    <w:p w14:paraId="3D2A4F04" w14:textId="77777777" w:rsidR="00D10204" w:rsidRDefault="00D10204" w:rsidP="008E5953">
      <w:pPr>
        <w:spacing w:after="0"/>
        <w:rPr>
          <w:rFonts w:ascii="Times New Roman" w:hAnsi="Times New Roman" w:cs="Times New Roman"/>
          <w:sz w:val="24"/>
        </w:rPr>
      </w:pPr>
    </w:p>
    <w:p w14:paraId="208D3765" w14:textId="4C5F6E22" w:rsidR="00101370" w:rsidRDefault="00B821E3" w:rsidP="008E5953">
      <w:pPr>
        <w:spacing w:after="0"/>
        <w:rPr>
          <w:rFonts w:ascii="Times New Roman" w:hAnsi="Times New Roman" w:cs="Times New Roman"/>
          <w:sz w:val="24"/>
        </w:rPr>
      </w:pPr>
      <w:r>
        <w:rPr>
          <w:rFonts w:ascii="Times New Roman" w:hAnsi="Times New Roman" w:cs="Times New Roman"/>
          <w:sz w:val="24"/>
        </w:rPr>
        <w:t xml:space="preserve">The Flow Work Group (FWG) presented its </w:t>
      </w:r>
      <w:r w:rsidR="0069059B">
        <w:rPr>
          <w:rFonts w:ascii="Times New Roman" w:hAnsi="Times New Roman" w:cs="Times New Roman"/>
          <w:sz w:val="24"/>
        </w:rPr>
        <w:t xml:space="preserve">technical </w:t>
      </w:r>
      <w:r w:rsidR="00944FFD">
        <w:rPr>
          <w:rFonts w:ascii="Times New Roman" w:hAnsi="Times New Roman" w:cs="Times New Roman"/>
          <w:sz w:val="24"/>
        </w:rPr>
        <w:t xml:space="preserve">recommendation on flow management for Water Year 2024 (WY24) </w:t>
      </w:r>
      <w:r w:rsidR="003E4FA3">
        <w:rPr>
          <w:rFonts w:ascii="Times New Roman" w:hAnsi="Times New Roman" w:cs="Times New Roman"/>
          <w:sz w:val="24"/>
        </w:rPr>
        <w:t xml:space="preserve">to the Trinity Management Council (TMC) at their quarterly meeting </w:t>
      </w:r>
      <w:r w:rsidR="0064675C">
        <w:rPr>
          <w:rFonts w:ascii="Times New Roman" w:hAnsi="Times New Roman" w:cs="Times New Roman"/>
          <w:sz w:val="24"/>
        </w:rPr>
        <w:t xml:space="preserve">in Weitchpec on </w:t>
      </w:r>
      <w:r w:rsidR="00CF112B">
        <w:rPr>
          <w:rFonts w:ascii="Times New Roman" w:hAnsi="Times New Roman" w:cs="Times New Roman"/>
          <w:sz w:val="24"/>
        </w:rPr>
        <w:t>September 19</w:t>
      </w:r>
      <w:r w:rsidR="00CF112B" w:rsidRPr="00CF112B">
        <w:rPr>
          <w:rFonts w:ascii="Times New Roman" w:hAnsi="Times New Roman" w:cs="Times New Roman"/>
          <w:sz w:val="24"/>
          <w:vertAlign w:val="superscript"/>
        </w:rPr>
        <w:t>th</w:t>
      </w:r>
      <w:r w:rsidR="00CF112B">
        <w:rPr>
          <w:rFonts w:ascii="Times New Roman" w:hAnsi="Times New Roman" w:cs="Times New Roman"/>
          <w:sz w:val="24"/>
        </w:rPr>
        <w:t xml:space="preserve">, 2023. </w:t>
      </w:r>
      <w:r w:rsidR="000C7FB4">
        <w:rPr>
          <w:rFonts w:ascii="Times New Roman" w:hAnsi="Times New Roman" w:cs="Times New Roman"/>
          <w:sz w:val="24"/>
        </w:rPr>
        <w:t xml:space="preserve">The recommendation was to implement winter variable flows </w:t>
      </w:r>
      <w:r w:rsidR="00631520">
        <w:rPr>
          <w:rFonts w:ascii="Times New Roman" w:hAnsi="Times New Roman" w:cs="Times New Roman"/>
          <w:sz w:val="24"/>
        </w:rPr>
        <w:t xml:space="preserve">(WVF) </w:t>
      </w:r>
      <w:r w:rsidR="000C7FB4">
        <w:rPr>
          <w:rFonts w:ascii="Times New Roman" w:hAnsi="Times New Roman" w:cs="Times New Roman"/>
          <w:sz w:val="24"/>
        </w:rPr>
        <w:t xml:space="preserve">using the same methods and flow schedules </w:t>
      </w:r>
      <w:r w:rsidR="003666CD">
        <w:rPr>
          <w:rFonts w:ascii="Times New Roman" w:hAnsi="Times New Roman" w:cs="Times New Roman"/>
          <w:sz w:val="24"/>
        </w:rPr>
        <w:t xml:space="preserve">approved by </w:t>
      </w:r>
      <w:r w:rsidR="003835DA">
        <w:rPr>
          <w:rFonts w:ascii="Times New Roman" w:hAnsi="Times New Roman" w:cs="Times New Roman"/>
          <w:sz w:val="24"/>
        </w:rPr>
        <w:t xml:space="preserve">the </w:t>
      </w:r>
      <w:r w:rsidR="003666CD">
        <w:rPr>
          <w:rFonts w:ascii="Times New Roman" w:hAnsi="Times New Roman" w:cs="Times New Roman"/>
          <w:sz w:val="24"/>
        </w:rPr>
        <w:t>TMC for WY</w:t>
      </w:r>
      <w:r w:rsidR="0013043C">
        <w:rPr>
          <w:rFonts w:ascii="Times New Roman" w:hAnsi="Times New Roman" w:cs="Times New Roman"/>
          <w:sz w:val="24"/>
        </w:rPr>
        <w:t>23, as described in a memo</w:t>
      </w:r>
      <w:r w:rsidR="007326CE">
        <w:rPr>
          <w:rFonts w:ascii="Times New Roman" w:hAnsi="Times New Roman" w:cs="Times New Roman"/>
          <w:sz w:val="24"/>
        </w:rPr>
        <w:t xml:space="preserve"> from the FWG</w:t>
      </w:r>
      <w:r w:rsidR="0013043C">
        <w:rPr>
          <w:rFonts w:ascii="Times New Roman" w:hAnsi="Times New Roman" w:cs="Times New Roman"/>
          <w:sz w:val="24"/>
        </w:rPr>
        <w:t xml:space="preserve"> to TMC and TMC </w:t>
      </w:r>
      <w:r w:rsidR="00A9520D">
        <w:rPr>
          <w:rFonts w:ascii="Times New Roman" w:hAnsi="Times New Roman" w:cs="Times New Roman"/>
          <w:sz w:val="24"/>
        </w:rPr>
        <w:t xml:space="preserve">quarterly </w:t>
      </w:r>
      <w:r w:rsidR="0013043C">
        <w:rPr>
          <w:rFonts w:ascii="Times New Roman" w:hAnsi="Times New Roman" w:cs="Times New Roman"/>
          <w:sz w:val="24"/>
        </w:rPr>
        <w:t xml:space="preserve">meeting minutes from </w:t>
      </w:r>
      <w:r w:rsidR="00FF5759">
        <w:rPr>
          <w:rFonts w:ascii="Times New Roman" w:hAnsi="Times New Roman" w:cs="Times New Roman"/>
          <w:sz w:val="24"/>
        </w:rPr>
        <w:t xml:space="preserve">the </w:t>
      </w:r>
      <w:r w:rsidR="00BE2E87">
        <w:rPr>
          <w:rFonts w:ascii="Times New Roman" w:hAnsi="Times New Roman" w:cs="Times New Roman"/>
          <w:sz w:val="24"/>
        </w:rPr>
        <w:t xml:space="preserve">September and </w:t>
      </w:r>
      <w:r w:rsidR="00FF5759">
        <w:rPr>
          <w:rFonts w:ascii="Times New Roman" w:hAnsi="Times New Roman" w:cs="Times New Roman"/>
          <w:sz w:val="24"/>
        </w:rPr>
        <w:t xml:space="preserve">December </w:t>
      </w:r>
      <w:r w:rsidR="00DB4A2B">
        <w:rPr>
          <w:rFonts w:ascii="Times New Roman" w:hAnsi="Times New Roman" w:cs="Times New Roman"/>
          <w:sz w:val="24"/>
        </w:rPr>
        <w:t xml:space="preserve">of </w:t>
      </w:r>
      <w:r w:rsidR="00FF5759">
        <w:rPr>
          <w:rFonts w:ascii="Times New Roman" w:hAnsi="Times New Roman" w:cs="Times New Roman"/>
          <w:sz w:val="24"/>
        </w:rPr>
        <w:t xml:space="preserve">2022 </w:t>
      </w:r>
      <w:r w:rsidR="00A9520D">
        <w:rPr>
          <w:rFonts w:ascii="Times New Roman" w:hAnsi="Times New Roman" w:cs="Times New Roman"/>
          <w:sz w:val="24"/>
        </w:rPr>
        <w:t>and 2023</w:t>
      </w:r>
      <w:r w:rsidR="00FF5759">
        <w:rPr>
          <w:rFonts w:ascii="Times New Roman" w:hAnsi="Times New Roman" w:cs="Times New Roman"/>
          <w:sz w:val="24"/>
        </w:rPr>
        <w:t>.</w:t>
      </w:r>
      <w:r w:rsidR="00C8731A">
        <w:rPr>
          <w:rFonts w:ascii="Times New Roman" w:hAnsi="Times New Roman" w:cs="Times New Roman"/>
          <w:sz w:val="24"/>
        </w:rPr>
        <w:t xml:space="preserve"> </w:t>
      </w:r>
      <w:r w:rsidR="00563D00">
        <w:rPr>
          <w:rFonts w:ascii="Times New Roman" w:hAnsi="Times New Roman" w:cs="Times New Roman"/>
          <w:sz w:val="24"/>
        </w:rPr>
        <w:t xml:space="preserve">A motion to implement WVF in WY24 </w:t>
      </w:r>
      <w:r w:rsidR="00631520">
        <w:rPr>
          <w:rFonts w:ascii="Times New Roman" w:hAnsi="Times New Roman" w:cs="Times New Roman"/>
          <w:sz w:val="24"/>
        </w:rPr>
        <w:t xml:space="preserve">failed, and a second motion to implement </w:t>
      </w:r>
      <w:r w:rsidR="0072704C">
        <w:rPr>
          <w:rFonts w:ascii="Times New Roman" w:hAnsi="Times New Roman" w:cs="Times New Roman"/>
          <w:sz w:val="24"/>
        </w:rPr>
        <w:t>300 c</w:t>
      </w:r>
      <w:r w:rsidR="009A3D9F">
        <w:rPr>
          <w:rFonts w:ascii="Times New Roman" w:hAnsi="Times New Roman" w:cs="Times New Roman"/>
          <w:sz w:val="24"/>
        </w:rPr>
        <w:t>fs baseflow from October 14, 2023 to April 15, 2024</w:t>
      </w:r>
      <w:r w:rsidR="00E90300">
        <w:rPr>
          <w:rFonts w:ascii="Times New Roman" w:hAnsi="Times New Roman" w:cs="Times New Roman"/>
          <w:sz w:val="24"/>
        </w:rPr>
        <w:t xml:space="preserve"> also failed. </w:t>
      </w:r>
      <w:r w:rsidR="00402910">
        <w:rPr>
          <w:rFonts w:ascii="Times New Roman" w:hAnsi="Times New Roman" w:cs="Times New Roman"/>
          <w:sz w:val="24"/>
        </w:rPr>
        <w:t xml:space="preserve">I, as the FWG coordinator, after conferring with colleagues, </w:t>
      </w:r>
      <w:r w:rsidR="00495A9C">
        <w:rPr>
          <w:rFonts w:ascii="Times New Roman" w:hAnsi="Times New Roman" w:cs="Times New Roman"/>
          <w:sz w:val="24"/>
        </w:rPr>
        <w:t xml:space="preserve">could not identify a path forward for </w:t>
      </w:r>
      <w:r w:rsidR="00D32926">
        <w:rPr>
          <w:rFonts w:ascii="Times New Roman" w:hAnsi="Times New Roman" w:cs="Times New Roman"/>
          <w:sz w:val="24"/>
        </w:rPr>
        <w:t xml:space="preserve">WY24 flow planning that would not conflict with the will of TMC. </w:t>
      </w:r>
      <w:r w:rsidR="005B57A7">
        <w:rPr>
          <w:rFonts w:ascii="Times New Roman" w:hAnsi="Times New Roman" w:cs="Times New Roman"/>
          <w:sz w:val="24"/>
        </w:rPr>
        <w:t xml:space="preserve">WVF was not recommended and proceeding with spring releases </w:t>
      </w:r>
      <w:r w:rsidR="00334F33">
        <w:rPr>
          <w:rFonts w:ascii="Times New Roman" w:hAnsi="Times New Roman" w:cs="Times New Roman"/>
          <w:sz w:val="24"/>
        </w:rPr>
        <w:t>after April 15</w:t>
      </w:r>
      <w:r w:rsidR="00334F33" w:rsidRPr="00334F33">
        <w:rPr>
          <w:rFonts w:ascii="Times New Roman" w:hAnsi="Times New Roman" w:cs="Times New Roman"/>
          <w:sz w:val="24"/>
          <w:vertAlign w:val="superscript"/>
        </w:rPr>
        <w:t>th</w:t>
      </w:r>
      <w:r w:rsidR="00334F33">
        <w:rPr>
          <w:rFonts w:ascii="Times New Roman" w:hAnsi="Times New Roman" w:cs="Times New Roman"/>
          <w:sz w:val="24"/>
        </w:rPr>
        <w:t xml:space="preserve"> would require implementation of 300 cfs baseflow until mid-April, </w:t>
      </w:r>
      <w:r w:rsidR="00ED61C6">
        <w:rPr>
          <w:rFonts w:ascii="Times New Roman" w:hAnsi="Times New Roman" w:cs="Times New Roman"/>
          <w:sz w:val="24"/>
        </w:rPr>
        <w:t>which TMC also did not support.</w:t>
      </w:r>
    </w:p>
    <w:p w14:paraId="72DEC8B7" w14:textId="77777777" w:rsidR="00101370" w:rsidRDefault="00101370" w:rsidP="008E5953">
      <w:pPr>
        <w:spacing w:after="0"/>
        <w:rPr>
          <w:rFonts w:ascii="Times New Roman" w:hAnsi="Times New Roman" w:cs="Times New Roman"/>
          <w:sz w:val="24"/>
        </w:rPr>
      </w:pPr>
    </w:p>
    <w:p w14:paraId="3BE63DF8" w14:textId="237A237A" w:rsidR="00B821E3" w:rsidRDefault="002467BE" w:rsidP="008E5953">
      <w:pPr>
        <w:spacing w:after="0"/>
        <w:rPr>
          <w:rFonts w:ascii="Times New Roman" w:hAnsi="Times New Roman" w:cs="Times New Roman"/>
          <w:sz w:val="24"/>
        </w:rPr>
      </w:pPr>
      <w:r>
        <w:rPr>
          <w:rFonts w:ascii="Times New Roman" w:hAnsi="Times New Roman" w:cs="Times New Roman"/>
          <w:sz w:val="24"/>
        </w:rPr>
        <w:t>The FWG</w:t>
      </w:r>
      <w:r w:rsidR="003B16A9">
        <w:rPr>
          <w:rFonts w:ascii="Times New Roman" w:hAnsi="Times New Roman" w:cs="Times New Roman"/>
          <w:sz w:val="24"/>
        </w:rPr>
        <w:t xml:space="preserve"> returned to TMC at their </w:t>
      </w:r>
      <w:r w:rsidR="004568F8">
        <w:rPr>
          <w:rFonts w:ascii="Times New Roman" w:hAnsi="Times New Roman" w:cs="Times New Roman"/>
          <w:sz w:val="24"/>
        </w:rPr>
        <w:t>quarterly meeting in Redding on December 5</w:t>
      </w:r>
      <w:r w:rsidR="004568F8" w:rsidRPr="004568F8">
        <w:rPr>
          <w:rFonts w:ascii="Times New Roman" w:hAnsi="Times New Roman" w:cs="Times New Roman"/>
          <w:sz w:val="24"/>
          <w:vertAlign w:val="superscript"/>
        </w:rPr>
        <w:t>th</w:t>
      </w:r>
      <w:r w:rsidR="004568F8">
        <w:rPr>
          <w:rFonts w:ascii="Times New Roman" w:hAnsi="Times New Roman" w:cs="Times New Roman"/>
          <w:sz w:val="24"/>
        </w:rPr>
        <w:t>, 2023</w:t>
      </w:r>
      <w:r w:rsidR="00FF7976">
        <w:rPr>
          <w:rFonts w:ascii="Times New Roman" w:hAnsi="Times New Roman" w:cs="Times New Roman"/>
          <w:sz w:val="24"/>
        </w:rPr>
        <w:t>,</w:t>
      </w:r>
      <w:r w:rsidR="004568F8">
        <w:rPr>
          <w:rFonts w:ascii="Times New Roman" w:hAnsi="Times New Roman" w:cs="Times New Roman"/>
          <w:sz w:val="24"/>
        </w:rPr>
        <w:t xml:space="preserve"> to seek further guidance</w:t>
      </w:r>
      <w:r w:rsidR="005E1229">
        <w:rPr>
          <w:rFonts w:ascii="Times New Roman" w:hAnsi="Times New Roman" w:cs="Times New Roman"/>
          <w:sz w:val="24"/>
        </w:rPr>
        <w:t xml:space="preserve"> as described in meeting minutes</w:t>
      </w:r>
      <w:r w:rsidR="00150B7D">
        <w:rPr>
          <w:rFonts w:ascii="Times New Roman" w:hAnsi="Times New Roman" w:cs="Times New Roman"/>
          <w:sz w:val="24"/>
        </w:rPr>
        <w:t xml:space="preserve">. </w:t>
      </w:r>
      <w:r w:rsidR="00AC6CA0">
        <w:rPr>
          <w:rFonts w:ascii="Times New Roman" w:hAnsi="Times New Roman" w:cs="Times New Roman"/>
          <w:sz w:val="24"/>
        </w:rPr>
        <w:t xml:space="preserve">In the days prior to the December meeting, Trinity County </w:t>
      </w:r>
      <w:r w:rsidR="002112AA">
        <w:rPr>
          <w:rFonts w:ascii="Times New Roman" w:hAnsi="Times New Roman" w:cs="Times New Roman"/>
          <w:sz w:val="24"/>
        </w:rPr>
        <w:t xml:space="preserve">provided a letter to </w:t>
      </w:r>
      <w:r w:rsidR="00E630B3">
        <w:rPr>
          <w:rFonts w:ascii="Times New Roman" w:hAnsi="Times New Roman" w:cs="Times New Roman"/>
          <w:sz w:val="24"/>
        </w:rPr>
        <w:t xml:space="preserve">the </w:t>
      </w:r>
      <w:r w:rsidR="002112AA">
        <w:rPr>
          <w:rFonts w:ascii="Times New Roman" w:hAnsi="Times New Roman" w:cs="Times New Roman"/>
          <w:sz w:val="24"/>
        </w:rPr>
        <w:t xml:space="preserve">TMC </w:t>
      </w:r>
      <w:r w:rsidR="00100192">
        <w:rPr>
          <w:rFonts w:ascii="Times New Roman" w:hAnsi="Times New Roman" w:cs="Times New Roman"/>
          <w:sz w:val="24"/>
        </w:rPr>
        <w:t xml:space="preserve">requesting consideration of an alternative set of flow recommendations developed by Joe Polos, </w:t>
      </w:r>
      <w:r w:rsidR="003835DA">
        <w:rPr>
          <w:rFonts w:ascii="Times New Roman" w:hAnsi="Times New Roman" w:cs="Times New Roman"/>
          <w:sz w:val="24"/>
        </w:rPr>
        <w:t xml:space="preserve">a </w:t>
      </w:r>
      <w:r w:rsidR="00100192">
        <w:rPr>
          <w:rFonts w:ascii="Times New Roman" w:hAnsi="Times New Roman" w:cs="Times New Roman"/>
          <w:sz w:val="24"/>
        </w:rPr>
        <w:t xml:space="preserve">former </w:t>
      </w:r>
      <w:r w:rsidR="00A41F2A">
        <w:rPr>
          <w:rFonts w:ascii="Times New Roman" w:hAnsi="Times New Roman" w:cs="Times New Roman"/>
          <w:sz w:val="24"/>
        </w:rPr>
        <w:t xml:space="preserve">TRRP scientist and </w:t>
      </w:r>
      <w:r w:rsidR="003835DA">
        <w:rPr>
          <w:rFonts w:ascii="Times New Roman" w:hAnsi="Times New Roman" w:cs="Times New Roman"/>
          <w:sz w:val="24"/>
        </w:rPr>
        <w:t xml:space="preserve">a retired </w:t>
      </w:r>
      <w:r w:rsidR="00A41F2A">
        <w:rPr>
          <w:rFonts w:ascii="Times New Roman" w:hAnsi="Times New Roman" w:cs="Times New Roman"/>
          <w:sz w:val="24"/>
        </w:rPr>
        <w:t>USFWS employee.</w:t>
      </w:r>
      <w:r w:rsidR="007A3FF3">
        <w:rPr>
          <w:rFonts w:ascii="Times New Roman" w:hAnsi="Times New Roman" w:cs="Times New Roman"/>
          <w:sz w:val="24"/>
        </w:rPr>
        <w:t xml:space="preserve"> Following a presentation and discussion, </w:t>
      </w:r>
      <w:r w:rsidR="00097589">
        <w:rPr>
          <w:rFonts w:ascii="Times New Roman" w:hAnsi="Times New Roman" w:cs="Times New Roman"/>
          <w:sz w:val="24"/>
        </w:rPr>
        <w:t xml:space="preserve">Trinity County </w:t>
      </w:r>
      <w:r w:rsidR="003826F3">
        <w:rPr>
          <w:rFonts w:ascii="Times New Roman" w:hAnsi="Times New Roman" w:cs="Times New Roman"/>
          <w:sz w:val="24"/>
        </w:rPr>
        <w:t xml:space="preserve">requested that the FWG work with County technical staff to evaluate </w:t>
      </w:r>
      <w:r w:rsidR="0070650F">
        <w:rPr>
          <w:rFonts w:ascii="Times New Roman" w:hAnsi="Times New Roman" w:cs="Times New Roman"/>
          <w:sz w:val="24"/>
        </w:rPr>
        <w:t>their alternative proposal</w:t>
      </w:r>
      <w:r w:rsidR="00543FAB">
        <w:rPr>
          <w:rFonts w:ascii="Times New Roman" w:hAnsi="Times New Roman" w:cs="Times New Roman"/>
          <w:sz w:val="24"/>
        </w:rPr>
        <w:t xml:space="preserve">, make adjustments as needed, and </w:t>
      </w:r>
      <w:r w:rsidR="00543FAB">
        <w:rPr>
          <w:rFonts w:ascii="Times New Roman" w:hAnsi="Times New Roman" w:cs="Times New Roman"/>
          <w:sz w:val="24"/>
        </w:rPr>
        <w:t>return a</w:t>
      </w:r>
      <w:r w:rsidR="00F12326">
        <w:rPr>
          <w:rFonts w:ascii="Times New Roman" w:hAnsi="Times New Roman" w:cs="Times New Roman"/>
          <w:sz w:val="24"/>
        </w:rPr>
        <w:t xml:space="preserve"> revised technical recommendation</w:t>
      </w:r>
      <w:r w:rsidR="002D7AEB">
        <w:rPr>
          <w:rFonts w:ascii="Times New Roman" w:hAnsi="Times New Roman" w:cs="Times New Roman"/>
          <w:sz w:val="24"/>
        </w:rPr>
        <w:t xml:space="preserve"> for WVF implementation to </w:t>
      </w:r>
      <w:r w:rsidR="0057154E">
        <w:rPr>
          <w:rFonts w:ascii="Times New Roman" w:hAnsi="Times New Roman" w:cs="Times New Roman"/>
          <w:sz w:val="24"/>
        </w:rPr>
        <w:t xml:space="preserve">the </w:t>
      </w:r>
      <w:r w:rsidR="002D7AEB">
        <w:rPr>
          <w:rFonts w:ascii="Times New Roman" w:hAnsi="Times New Roman" w:cs="Times New Roman"/>
          <w:sz w:val="24"/>
        </w:rPr>
        <w:t>TMC by January 11</w:t>
      </w:r>
      <w:r w:rsidR="002D7AEB" w:rsidRPr="002D7AEB">
        <w:rPr>
          <w:rFonts w:ascii="Times New Roman" w:hAnsi="Times New Roman" w:cs="Times New Roman"/>
          <w:sz w:val="24"/>
          <w:vertAlign w:val="superscript"/>
        </w:rPr>
        <w:t>th</w:t>
      </w:r>
      <w:r w:rsidR="00DC0E24">
        <w:rPr>
          <w:rFonts w:ascii="Times New Roman" w:hAnsi="Times New Roman" w:cs="Times New Roman"/>
          <w:sz w:val="24"/>
        </w:rPr>
        <w:t xml:space="preserve">. </w:t>
      </w:r>
      <w:r w:rsidR="0057154E">
        <w:rPr>
          <w:rFonts w:ascii="Times New Roman" w:hAnsi="Times New Roman" w:cs="Times New Roman"/>
          <w:sz w:val="24"/>
        </w:rPr>
        <w:t>This memo is provided to fulfill that request and should be considered the FWG technical recommendation for WY24 flow management through 14 April, 2024.</w:t>
      </w:r>
      <w:r w:rsidR="0057154E">
        <w:rPr>
          <w:rFonts w:ascii="Times New Roman" w:hAnsi="Times New Roman" w:cs="Times New Roman"/>
          <w:sz w:val="24"/>
        </w:rPr>
        <w:t xml:space="preserve"> </w:t>
      </w:r>
      <w:r w:rsidR="00DC0E24">
        <w:rPr>
          <w:rFonts w:ascii="Times New Roman" w:hAnsi="Times New Roman" w:cs="Times New Roman"/>
          <w:sz w:val="24"/>
        </w:rPr>
        <w:t>The following specific guidance was also provided</w:t>
      </w:r>
      <w:r w:rsidR="00445E76">
        <w:rPr>
          <w:rFonts w:ascii="Times New Roman" w:hAnsi="Times New Roman" w:cs="Times New Roman"/>
          <w:sz w:val="24"/>
        </w:rPr>
        <w:t xml:space="preserve"> from representative Gogan or </w:t>
      </w:r>
      <w:r w:rsidR="000976DE">
        <w:rPr>
          <w:rFonts w:ascii="Times New Roman" w:hAnsi="Times New Roman" w:cs="Times New Roman"/>
          <w:sz w:val="24"/>
        </w:rPr>
        <w:t>from the letter provided by the County</w:t>
      </w:r>
      <w:r w:rsidR="0057154E">
        <w:rPr>
          <w:rFonts w:ascii="Times New Roman" w:hAnsi="Times New Roman" w:cs="Times New Roman"/>
          <w:sz w:val="24"/>
        </w:rPr>
        <w:t xml:space="preserve"> to meet the County’s objectives for </w:t>
      </w:r>
      <w:r w:rsidR="00AC75A6">
        <w:rPr>
          <w:rFonts w:ascii="Times New Roman" w:hAnsi="Times New Roman" w:cs="Times New Roman"/>
          <w:sz w:val="24"/>
        </w:rPr>
        <w:t>recreation</w:t>
      </w:r>
      <w:r w:rsidR="00DC0E24">
        <w:rPr>
          <w:rFonts w:ascii="Times New Roman" w:hAnsi="Times New Roman" w:cs="Times New Roman"/>
          <w:sz w:val="24"/>
        </w:rPr>
        <w:t xml:space="preserve">. </w:t>
      </w:r>
    </w:p>
    <w:p w14:paraId="0CDABC2F" w14:textId="77777777" w:rsidR="00B101C9" w:rsidRDefault="00B101C9" w:rsidP="008E5953">
      <w:pPr>
        <w:spacing w:after="0"/>
        <w:rPr>
          <w:rFonts w:ascii="Times New Roman" w:hAnsi="Times New Roman" w:cs="Times New Roman"/>
          <w:sz w:val="24"/>
        </w:rPr>
      </w:pPr>
    </w:p>
    <w:p w14:paraId="3B08327F" w14:textId="03F11D1A" w:rsidR="00B101C9" w:rsidRDefault="00B101C9" w:rsidP="00B101C9">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From February 15</w:t>
      </w:r>
      <w:r w:rsidRPr="005D364C">
        <w:rPr>
          <w:rFonts w:ascii="Times New Roman" w:hAnsi="Times New Roman" w:cs="Times New Roman"/>
          <w:sz w:val="24"/>
          <w:vertAlign w:val="superscript"/>
        </w:rPr>
        <w:t>th</w:t>
      </w:r>
      <w:r>
        <w:rPr>
          <w:rFonts w:ascii="Times New Roman" w:hAnsi="Times New Roman" w:cs="Times New Roman"/>
          <w:sz w:val="24"/>
        </w:rPr>
        <w:t xml:space="preserve"> to March 14</w:t>
      </w:r>
      <w:r w:rsidRPr="00B101C9">
        <w:rPr>
          <w:rFonts w:ascii="Times New Roman" w:hAnsi="Times New Roman" w:cs="Times New Roman"/>
          <w:sz w:val="24"/>
          <w:vertAlign w:val="superscript"/>
        </w:rPr>
        <w:t>th</w:t>
      </w:r>
      <w:r>
        <w:rPr>
          <w:rFonts w:ascii="Times New Roman" w:hAnsi="Times New Roman" w:cs="Times New Roman"/>
          <w:sz w:val="24"/>
        </w:rPr>
        <w:t>, do not exceed 1,200 cfs release from Lewiston Dam</w:t>
      </w:r>
    </w:p>
    <w:p w14:paraId="1E108123" w14:textId="1D76D6F4" w:rsidR="00B101C9" w:rsidRDefault="00B101C9" w:rsidP="00B101C9">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Preferred releases are closer to 800 cfs</w:t>
      </w:r>
      <w:r w:rsidR="0096798D">
        <w:rPr>
          <w:rFonts w:ascii="Times New Roman" w:hAnsi="Times New Roman" w:cs="Times New Roman"/>
          <w:sz w:val="24"/>
        </w:rPr>
        <w:t xml:space="preserve"> </w:t>
      </w:r>
      <w:r w:rsidR="00CF4EC7">
        <w:rPr>
          <w:rFonts w:ascii="Times New Roman" w:hAnsi="Times New Roman" w:cs="Times New Roman"/>
          <w:sz w:val="24"/>
        </w:rPr>
        <w:t>(</w:t>
      </w:r>
      <w:r w:rsidR="0096798D">
        <w:rPr>
          <w:rFonts w:ascii="Times New Roman" w:hAnsi="Times New Roman" w:cs="Times New Roman"/>
          <w:sz w:val="24"/>
        </w:rPr>
        <w:t xml:space="preserve">1,200 and particularly </w:t>
      </w:r>
      <w:r w:rsidR="00CF4EC7">
        <w:rPr>
          <w:rFonts w:ascii="Times New Roman" w:hAnsi="Times New Roman" w:cs="Times New Roman"/>
          <w:sz w:val="24"/>
        </w:rPr>
        <w:t>800 cfs are intended to reduce impact</w:t>
      </w:r>
      <w:r w:rsidR="005A677F">
        <w:rPr>
          <w:rFonts w:ascii="Times New Roman" w:hAnsi="Times New Roman" w:cs="Times New Roman"/>
          <w:sz w:val="24"/>
        </w:rPr>
        <w:t>s</w:t>
      </w:r>
      <w:r w:rsidR="00CF4EC7">
        <w:rPr>
          <w:rFonts w:ascii="Times New Roman" w:hAnsi="Times New Roman" w:cs="Times New Roman"/>
          <w:sz w:val="24"/>
        </w:rPr>
        <w:t xml:space="preserve"> to fishing opportunity)</w:t>
      </w:r>
    </w:p>
    <w:p w14:paraId="1AC0D228" w14:textId="408CDAA4" w:rsidR="0020494D" w:rsidRDefault="0020494D" w:rsidP="00B101C9">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lastRenderedPageBreak/>
        <w:t>Releases from March 15</w:t>
      </w:r>
      <w:r w:rsidRPr="0020494D">
        <w:rPr>
          <w:rFonts w:ascii="Times New Roman" w:hAnsi="Times New Roman" w:cs="Times New Roman"/>
          <w:sz w:val="24"/>
          <w:vertAlign w:val="superscript"/>
        </w:rPr>
        <w:t>th</w:t>
      </w:r>
      <w:r>
        <w:rPr>
          <w:rFonts w:ascii="Times New Roman" w:hAnsi="Times New Roman" w:cs="Times New Roman"/>
          <w:sz w:val="24"/>
        </w:rPr>
        <w:t xml:space="preserve"> to April 14</w:t>
      </w:r>
      <w:r w:rsidRPr="0020494D">
        <w:rPr>
          <w:rFonts w:ascii="Times New Roman" w:hAnsi="Times New Roman" w:cs="Times New Roman"/>
          <w:sz w:val="24"/>
          <w:vertAlign w:val="superscript"/>
        </w:rPr>
        <w:t>th</w:t>
      </w:r>
      <w:r>
        <w:rPr>
          <w:rFonts w:ascii="Times New Roman" w:hAnsi="Times New Roman" w:cs="Times New Roman"/>
          <w:sz w:val="24"/>
        </w:rPr>
        <w:t xml:space="preserve"> can exceed 1,200 cfs</w:t>
      </w:r>
      <w:r w:rsidR="00347703">
        <w:rPr>
          <w:rFonts w:ascii="Times New Roman" w:hAnsi="Times New Roman" w:cs="Times New Roman"/>
          <w:sz w:val="24"/>
        </w:rPr>
        <w:t xml:space="preserve"> (an upper limit was not specified)</w:t>
      </w:r>
    </w:p>
    <w:p w14:paraId="6B375E32" w14:textId="7887CC68" w:rsidR="00347703" w:rsidRDefault="00B44BAE" w:rsidP="00B101C9">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WVF release volumes should be scaled to water year type</w:t>
      </w:r>
    </w:p>
    <w:p w14:paraId="3EB8E1C8" w14:textId="2CAC8D37" w:rsidR="00E11B6C" w:rsidRDefault="00E11B6C" w:rsidP="00B101C9">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No elevated flows should be proposed prior to </w:t>
      </w:r>
      <w:r w:rsidR="00066355">
        <w:rPr>
          <w:rFonts w:ascii="Times New Roman" w:hAnsi="Times New Roman" w:cs="Times New Roman"/>
          <w:sz w:val="24"/>
        </w:rPr>
        <w:t>February 15</w:t>
      </w:r>
      <w:r w:rsidR="00066355" w:rsidRPr="00066355">
        <w:rPr>
          <w:rFonts w:ascii="Times New Roman" w:hAnsi="Times New Roman" w:cs="Times New Roman"/>
          <w:sz w:val="24"/>
          <w:vertAlign w:val="superscript"/>
        </w:rPr>
        <w:t>th</w:t>
      </w:r>
    </w:p>
    <w:p w14:paraId="6B143581" w14:textId="46D3198D" w:rsidR="00066355" w:rsidRDefault="00D62092" w:rsidP="00B101C9">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Any proposal should be accompanied by </w:t>
      </w:r>
      <w:r w:rsidR="009B603F">
        <w:rPr>
          <w:rFonts w:ascii="Times New Roman" w:hAnsi="Times New Roman" w:cs="Times New Roman"/>
          <w:sz w:val="24"/>
        </w:rPr>
        <w:t>Decision Support System results</w:t>
      </w:r>
    </w:p>
    <w:p w14:paraId="6295A3D4" w14:textId="65032AF6" w:rsidR="000976DE" w:rsidRPr="00B101C9" w:rsidRDefault="00A71DA4" w:rsidP="00B101C9">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Address concerns regarding protecting carryover storage in Trinity Reservoir</w:t>
      </w:r>
    </w:p>
    <w:p w14:paraId="1E2C3B12" w14:textId="77777777" w:rsidR="00BE2E87" w:rsidRDefault="00BE2E87" w:rsidP="008E5953">
      <w:pPr>
        <w:spacing w:after="0"/>
        <w:rPr>
          <w:rFonts w:ascii="Times New Roman" w:hAnsi="Times New Roman" w:cs="Times New Roman"/>
          <w:sz w:val="24"/>
        </w:rPr>
      </w:pPr>
    </w:p>
    <w:p w14:paraId="5DD1473D" w14:textId="5E957B6A" w:rsidR="0086534E" w:rsidRDefault="0086534E" w:rsidP="008E5953">
      <w:pPr>
        <w:spacing w:after="0"/>
        <w:rPr>
          <w:rFonts w:ascii="Times New Roman" w:hAnsi="Times New Roman" w:cs="Times New Roman"/>
          <w:sz w:val="24"/>
        </w:rPr>
      </w:pPr>
      <w:r>
        <w:rPr>
          <w:rFonts w:ascii="Times New Roman" w:hAnsi="Times New Roman" w:cs="Times New Roman"/>
          <w:sz w:val="24"/>
        </w:rPr>
        <w:t xml:space="preserve">The FWG met on </w:t>
      </w:r>
      <w:r w:rsidR="00743913">
        <w:rPr>
          <w:rFonts w:ascii="Times New Roman" w:hAnsi="Times New Roman" w:cs="Times New Roman"/>
          <w:sz w:val="24"/>
        </w:rPr>
        <w:t>December 20</w:t>
      </w:r>
      <w:r w:rsidR="00743913" w:rsidRPr="00743913">
        <w:rPr>
          <w:rFonts w:ascii="Times New Roman" w:hAnsi="Times New Roman" w:cs="Times New Roman"/>
          <w:sz w:val="24"/>
          <w:vertAlign w:val="superscript"/>
        </w:rPr>
        <w:t>th</w:t>
      </w:r>
      <w:r w:rsidR="00743913">
        <w:rPr>
          <w:rFonts w:ascii="Times New Roman" w:hAnsi="Times New Roman" w:cs="Times New Roman"/>
          <w:sz w:val="24"/>
        </w:rPr>
        <w:t xml:space="preserve">, 2023, to consider </w:t>
      </w:r>
      <w:r w:rsidR="00006AF6">
        <w:rPr>
          <w:rFonts w:ascii="Times New Roman" w:hAnsi="Times New Roman" w:cs="Times New Roman"/>
          <w:sz w:val="24"/>
        </w:rPr>
        <w:t>the County’s alternative flow proposal and develop a recommendation that would meet the above guidelines.</w:t>
      </w:r>
      <w:r w:rsidR="00300AE6">
        <w:rPr>
          <w:rFonts w:ascii="Times New Roman" w:hAnsi="Times New Roman" w:cs="Times New Roman"/>
          <w:sz w:val="24"/>
        </w:rPr>
        <w:t xml:space="preserve"> Initial conversation centered around Joe Polos’ </w:t>
      </w:r>
      <w:r w:rsidR="00B25A92">
        <w:rPr>
          <w:rFonts w:ascii="Times New Roman" w:hAnsi="Times New Roman" w:cs="Times New Roman"/>
          <w:sz w:val="24"/>
        </w:rPr>
        <w:t xml:space="preserve">proposed hydrographs, which were ultimately </w:t>
      </w:r>
      <w:r w:rsidR="00A34221">
        <w:rPr>
          <w:rFonts w:ascii="Times New Roman" w:hAnsi="Times New Roman" w:cs="Times New Roman"/>
          <w:sz w:val="24"/>
        </w:rPr>
        <w:t xml:space="preserve">not advanced as part of this recommendation. </w:t>
      </w:r>
      <w:r w:rsidR="00B749E3">
        <w:rPr>
          <w:rFonts w:ascii="Times New Roman" w:hAnsi="Times New Roman" w:cs="Times New Roman"/>
          <w:sz w:val="24"/>
        </w:rPr>
        <w:t xml:space="preserve">That proposal </w:t>
      </w:r>
      <w:r w:rsidR="0062725D">
        <w:rPr>
          <w:rFonts w:ascii="Times New Roman" w:hAnsi="Times New Roman" w:cs="Times New Roman"/>
          <w:sz w:val="24"/>
        </w:rPr>
        <w:t xml:space="preserve">was incomplete in not providing a mechanism to determine which hydrograph to select in February, </w:t>
      </w:r>
      <w:r w:rsidR="00BD53E6">
        <w:rPr>
          <w:rFonts w:ascii="Times New Roman" w:hAnsi="Times New Roman" w:cs="Times New Roman"/>
          <w:sz w:val="24"/>
        </w:rPr>
        <w:t xml:space="preserve">was not developed to meet specific </w:t>
      </w:r>
      <w:r w:rsidR="00710CDE">
        <w:rPr>
          <w:rFonts w:ascii="Times New Roman" w:hAnsi="Times New Roman" w:cs="Times New Roman"/>
          <w:sz w:val="24"/>
        </w:rPr>
        <w:t xml:space="preserve">biological or physical objectives, and it was unclear if it </w:t>
      </w:r>
      <w:r w:rsidR="00AA24C7">
        <w:rPr>
          <w:rFonts w:ascii="Times New Roman" w:hAnsi="Times New Roman" w:cs="Times New Roman"/>
          <w:sz w:val="24"/>
        </w:rPr>
        <w:t xml:space="preserve">would be covered by the </w:t>
      </w:r>
      <w:r w:rsidR="00E630B3">
        <w:rPr>
          <w:rFonts w:ascii="Times New Roman" w:hAnsi="Times New Roman" w:cs="Times New Roman"/>
          <w:sz w:val="24"/>
        </w:rPr>
        <w:t>Environmental Assessment (</w:t>
      </w:r>
      <w:r w:rsidR="00AA24C7">
        <w:rPr>
          <w:rFonts w:ascii="Times New Roman" w:hAnsi="Times New Roman" w:cs="Times New Roman"/>
          <w:sz w:val="24"/>
        </w:rPr>
        <w:t>EA</w:t>
      </w:r>
      <w:r w:rsidR="00E630B3">
        <w:rPr>
          <w:rFonts w:ascii="Times New Roman" w:hAnsi="Times New Roman" w:cs="Times New Roman"/>
          <w:sz w:val="24"/>
        </w:rPr>
        <w:t>)</w:t>
      </w:r>
      <w:r w:rsidR="00AA24C7">
        <w:rPr>
          <w:rFonts w:ascii="Times New Roman" w:hAnsi="Times New Roman" w:cs="Times New Roman"/>
          <w:sz w:val="24"/>
        </w:rPr>
        <w:t xml:space="preserve"> developed for the WVF project.</w:t>
      </w:r>
    </w:p>
    <w:p w14:paraId="4DA0F90A" w14:textId="77777777" w:rsidR="0052695F" w:rsidRDefault="0052695F" w:rsidP="008E5953">
      <w:pPr>
        <w:spacing w:after="0"/>
        <w:rPr>
          <w:rFonts w:ascii="Times New Roman" w:hAnsi="Times New Roman" w:cs="Times New Roman"/>
          <w:sz w:val="24"/>
        </w:rPr>
      </w:pPr>
    </w:p>
    <w:p w14:paraId="254A8C88" w14:textId="696A7229" w:rsidR="0052695F" w:rsidRDefault="0052695F" w:rsidP="008E5953">
      <w:pPr>
        <w:spacing w:after="0"/>
        <w:rPr>
          <w:rFonts w:ascii="Times New Roman" w:hAnsi="Times New Roman" w:cs="Times New Roman"/>
          <w:sz w:val="24"/>
        </w:rPr>
      </w:pPr>
      <w:r>
        <w:rPr>
          <w:rFonts w:ascii="Times New Roman" w:hAnsi="Times New Roman" w:cs="Times New Roman"/>
          <w:sz w:val="24"/>
        </w:rPr>
        <w:t xml:space="preserve">The revised recommendation from the FWG is shown in Figure 1, which follows the decision tree shown in Figure 2. </w:t>
      </w:r>
      <w:r w:rsidR="006A0ADB">
        <w:rPr>
          <w:rFonts w:ascii="Times New Roman" w:hAnsi="Times New Roman" w:cs="Times New Roman"/>
          <w:sz w:val="24"/>
        </w:rPr>
        <w:t>This re</w:t>
      </w:r>
      <w:r w:rsidR="009E44B8">
        <w:rPr>
          <w:rFonts w:ascii="Times New Roman" w:hAnsi="Times New Roman" w:cs="Times New Roman"/>
          <w:sz w:val="24"/>
        </w:rPr>
        <w:t>commendation preserves a limited set of components from the WY23 and WY24 recommendations</w:t>
      </w:r>
      <w:r w:rsidR="0056310E">
        <w:rPr>
          <w:rFonts w:ascii="Times New Roman" w:hAnsi="Times New Roman" w:cs="Times New Roman"/>
          <w:sz w:val="24"/>
        </w:rPr>
        <w:t xml:space="preserve"> with modification to one component to reduce impacts to fishing opportunity </w:t>
      </w:r>
      <w:r w:rsidR="001D54C0">
        <w:rPr>
          <w:rFonts w:ascii="Times New Roman" w:hAnsi="Times New Roman" w:cs="Times New Roman"/>
          <w:sz w:val="24"/>
        </w:rPr>
        <w:t xml:space="preserve">in March and April. </w:t>
      </w:r>
      <w:r w:rsidR="00AE2F24">
        <w:rPr>
          <w:rFonts w:ascii="Times New Roman" w:hAnsi="Times New Roman" w:cs="Times New Roman"/>
          <w:sz w:val="24"/>
        </w:rPr>
        <w:t xml:space="preserve">A 60k acre-feet </w:t>
      </w:r>
      <w:r w:rsidR="001D54C0">
        <w:rPr>
          <w:rFonts w:ascii="Times New Roman" w:hAnsi="Times New Roman" w:cs="Times New Roman"/>
          <w:sz w:val="24"/>
        </w:rPr>
        <w:t xml:space="preserve">(AF) </w:t>
      </w:r>
      <w:r w:rsidR="006A0ADB">
        <w:rPr>
          <w:rFonts w:ascii="Times New Roman" w:hAnsi="Times New Roman" w:cs="Times New Roman"/>
          <w:sz w:val="24"/>
        </w:rPr>
        <w:t>release from February 15</w:t>
      </w:r>
      <w:r w:rsidR="006A0ADB" w:rsidRPr="006A0ADB">
        <w:rPr>
          <w:rFonts w:ascii="Times New Roman" w:hAnsi="Times New Roman" w:cs="Times New Roman"/>
          <w:sz w:val="24"/>
          <w:vertAlign w:val="superscript"/>
        </w:rPr>
        <w:t>th</w:t>
      </w:r>
      <w:r w:rsidR="006A0ADB">
        <w:rPr>
          <w:rFonts w:ascii="Times New Roman" w:hAnsi="Times New Roman" w:cs="Times New Roman"/>
          <w:sz w:val="24"/>
        </w:rPr>
        <w:t xml:space="preserve"> to April </w:t>
      </w:r>
      <w:r w:rsidR="001D54C0">
        <w:rPr>
          <w:rFonts w:ascii="Times New Roman" w:hAnsi="Times New Roman" w:cs="Times New Roman"/>
          <w:sz w:val="24"/>
        </w:rPr>
        <w:t>14</w:t>
      </w:r>
      <w:r w:rsidR="001D54C0" w:rsidRPr="001D54C0">
        <w:rPr>
          <w:rFonts w:ascii="Times New Roman" w:hAnsi="Times New Roman" w:cs="Times New Roman"/>
          <w:sz w:val="24"/>
          <w:vertAlign w:val="superscript"/>
        </w:rPr>
        <w:t>th</w:t>
      </w:r>
      <w:r w:rsidR="001D54C0">
        <w:rPr>
          <w:rFonts w:ascii="Times New Roman" w:hAnsi="Times New Roman" w:cs="Times New Roman"/>
          <w:sz w:val="24"/>
        </w:rPr>
        <w:t xml:space="preserve"> </w:t>
      </w:r>
      <w:r w:rsidR="00D345F1">
        <w:rPr>
          <w:rFonts w:ascii="Times New Roman" w:hAnsi="Times New Roman" w:cs="Times New Roman"/>
          <w:sz w:val="24"/>
        </w:rPr>
        <w:t>would occur regardless of the water year type forecast in February</w:t>
      </w:r>
      <w:r w:rsidR="004F0BD9">
        <w:rPr>
          <w:rFonts w:ascii="Times New Roman" w:hAnsi="Times New Roman" w:cs="Times New Roman"/>
          <w:sz w:val="24"/>
        </w:rPr>
        <w:t xml:space="preserve">, then </w:t>
      </w:r>
      <w:r w:rsidR="00A11F93">
        <w:rPr>
          <w:rFonts w:ascii="Times New Roman" w:hAnsi="Times New Roman" w:cs="Times New Roman"/>
          <w:sz w:val="24"/>
        </w:rPr>
        <w:t>releases from March 15</w:t>
      </w:r>
      <w:r w:rsidR="00A11F93" w:rsidRPr="00A11F93">
        <w:rPr>
          <w:rFonts w:ascii="Times New Roman" w:hAnsi="Times New Roman" w:cs="Times New Roman"/>
          <w:sz w:val="24"/>
          <w:vertAlign w:val="superscript"/>
        </w:rPr>
        <w:t>th</w:t>
      </w:r>
      <w:r w:rsidR="00A11F93">
        <w:rPr>
          <w:rFonts w:ascii="Times New Roman" w:hAnsi="Times New Roman" w:cs="Times New Roman"/>
          <w:sz w:val="24"/>
        </w:rPr>
        <w:t xml:space="preserve"> to April 14</w:t>
      </w:r>
      <w:r w:rsidR="00A11F93" w:rsidRPr="00A11F93">
        <w:rPr>
          <w:rFonts w:ascii="Times New Roman" w:hAnsi="Times New Roman" w:cs="Times New Roman"/>
          <w:sz w:val="24"/>
          <w:vertAlign w:val="superscript"/>
        </w:rPr>
        <w:t>th</w:t>
      </w:r>
      <w:r w:rsidR="00A11F93">
        <w:rPr>
          <w:rFonts w:ascii="Times New Roman" w:hAnsi="Times New Roman" w:cs="Times New Roman"/>
          <w:sz w:val="24"/>
        </w:rPr>
        <w:t xml:space="preserve"> would be determined by the B120 forecast. </w:t>
      </w:r>
      <w:r w:rsidR="009A11FF">
        <w:rPr>
          <w:rFonts w:ascii="Times New Roman" w:hAnsi="Times New Roman" w:cs="Times New Roman"/>
          <w:sz w:val="24"/>
        </w:rPr>
        <w:t xml:space="preserve">If the March B120 forecasts a Critically Dry </w:t>
      </w:r>
      <w:r w:rsidR="008D43B5">
        <w:rPr>
          <w:rFonts w:ascii="Times New Roman" w:hAnsi="Times New Roman" w:cs="Times New Roman"/>
          <w:sz w:val="24"/>
        </w:rPr>
        <w:t>water year</w:t>
      </w:r>
      <w:r w:rsidR="009A11FF">
        <w:rPr>
          <w:rFonts w:ascii="Times New Roman" w:hAnsi="Times New Roman" w:cs="Times New Roman"/>
          <w:sz w:val="24"/>
        </w:rPr>
        <w:t xml:space="preserve">, no changes to the </w:t>
      </w:r>
      <w:r w:rsidR="00AE3AB6">
        <w:rPr>
          <w:rFonts w:ascii="Times New Roman" w:hAnsi="Times New Roman" w:cs="Times New Roman"/>
          <w:sz w:val="24"/>
        </w:rPr>
        <w:t xml:space="preserve">schedule would be made. A Dry </w:t>
      </w:r>
      <w:r w:rsidR="008D43B5">
        <w:rPr>
          <w:rFonts w:ascii="Times New Roman" w:hAnsi="Times New Roman" w:cs="Times New Roman"/>
          <w:sz w:val="24"/>
        </w:rPr>
        <w:t xml:space="preserve">water year </w:t>
      </w:r>
      <w:r w:rsidR="00AE3AB6">
        <w:rPr>
          <w:rFonts w:ascii="Times New Roman" w:hAnsi="Times New Roman" w:cs="Times New Roman"/>
          <w:sz w:val="24"/>
        </w:rPr>
        <w:t>forecast would result in an additional 20k AF release</w:t>
      </w:r>
      <w:r w:rsidR="00D979FE">
        <w:rPr>
          <w:rFonts w:ascii="Times New Roman" w:hAnsi="Times New Roman" w:cs="Times New Roman"/>
          <w:sz w:val="24"/>
        </w:rPr>
        <w:t>,</w:t>
      </w:r>
      <w:r w:rsidR="00AE3AB6">
        <w:rPr>
          <w:rFonts w:ascii="Times New Roman" w:hAnsi="Times New Roman" w:cs="Times New Roman"/>
          <w:sz w:val="24"/>
        </w:rPr>
        <w:t xml:space="preserve"> and a Normal or wetter forecast would result in an additional 60k AF release.</w:t>
      </w:r>
      <w:r w:rsidR="00A66BC5">
        <w:rPr>
          <w:rFonts w:ascii="Times New Roman" w:hAnsi="Times New Roman" w:cs="Times New Roman"/>
          <w:sz w:val="24"/>
        </w:rPr>
        <w:t xml:space="preserve"> This revised recommendation </w:t>
      </w:r>
      <w:r w:rsidR="00A7149D">
        <w:rPr>
          <w:rFonts w:ascii="Times New Roman" w:hAnsi="Times New Roman" w:cs="Times New Roman"/>
          <w:sz w:val="24"/>
        </w:rPr>
        <w:t xml:space="preserve">is intended to strike a balance between </w:t>
      </w:r>
      <w:r w:rsidR="00906EA8">
        <w:rPr>
          <w:rFonts w:ascii="Times New Roman" w:hAnsi="Times New Roman" w:cs="Times New Roman"/>
          <w:sz w:val="24"/>
        </w:rPr>
        <w:t xml:space="preserve">the FWG consideration of the best available science (i.e., previous recommendations for WY23 and WY24), the </w:t>
      </w:r>
      <w:r w:rsidR="006A7731">
        <w:rPr>
          <w:rFonts w:ascii="Times New Roman" w:hAnsi="Times New Roman" w:cs="Times New Roman"/>
          <w:sz w:val="24"/>
        </w:rPr>
        <w:t xml:space="preserve">desires of Trinity County provided in the bulleted list above, and to ensure that the action would be covered under </w:t>
      </w:r>
      <w:r w:rsidR="00FF27E8">
        <w:rPr>
          <w:rFonts w:ascii="Times New Roman" w:hAnsi="Times New Roman" w:cs="Times New Roman"/>
          <w:sz w:val="24"/>
        </w:rPr>
        <w:t>the draft EA developed in 2022.</w:t>
      </w:r>
      <w:r w:rsidR="00253403">
        <w:rPr>
          <w:rFonts w:ascii="Times New Roman" w:hAnsi="Times New Roman" w:cs="Times New Roman"/>
          <w:sz w:val="24"/>
        </w:rPr>
        <w:t xml:space="preserve"> Specifically:</w:t>
      </w:r>
    </w:p>
    <w:p w14:paraId="27A9F959" w14:textId="77777777" w:rsidR="00253403" w:rsidRDefault="00253403" w:rsidP="008E5953">
      <w:pPr>
        <w:spacing w:after="0"/>
        <w:rPr>
          <w:rFonts w:ascii="Times New Roman" w:hAnsi="Times New Roman" w:cs="Times New Roman"/>
          <w:sz w:val="24"/>
        </w:rPr>
      </w:pPr>
    </w:p>
    <w:p w14:paraId="0978C285" w14:textId="400067F0" w:rsidR="00253403" w:rsidRDefault="00253403" w:rsidP="00253403">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By keeping volumes and partial implementation of the decision tree from the EA, this action would be considered analyzed and would be covered under a signed </w:t>
      </w:r>
      <w:r w:rsidR="00E630B3">
        <w:rPr>
          <w:rFonts w:ascii="Times New Roman" w:hAnsi="Times New Roman" w:cs="Times New Roman"/>
          <w:sz w:val="24"/>
        </w:rPr>
        <w:t>Finding of no Significant Impacts (</w:t>
      </w:r>
      <w:r>
        <w:rPr>
          <w:rFonts w:ascii="Times New Roman" w:hAnsi="Times New Roman" w:cs="Times New Roman"/>
          <w:sz w:val="24"/>
        </w:rPr>
        <w:t>FONSI</w:t>
      </w:r>
      <w:r w:rsidR="00E630B3">
        <w:rPr>
          <w:rFonts w:ascii="Times New Roman" w:hAnsi="Times New Roman" w:cs="Times New Roman"/>
          <w:sz w:val="24"/>
        </w:rPr>
        <w:t>)</w:t>
      </w:r>
    </w:p>
    <w:p w14:paraId="78CB0D1A" w14:textId="78892C22" w:rsidR="00253403" w:rsidRDefault="00444034" w:rsidP="00253403">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It s</w:t>
      </w:r>
      <w:r w:rsidR="00253403">
        <w:rPr>
          <w:rFonts w:ascii="Times New Roman" w:hAnsi="Times New Roman" w:cs="Times New Roman"/>
          <w:sz w:val="24"/>
        </w:rPr>
        <w:t>cales to water year type by considering the March B120,</w:t>
      </w:r>
      <w:r>
        <w:rPr>
          <w:rFonts w:ascii="Times New Roman" w:hAnsi="Times New Roman" w:cs="Times New Roman"/>
          <w:sz w:val="24"/>
        </w:rPr>
        <w:t xml:space="preserve"> ranging from</w:t>
      </w:r>
      <w:r w:rsidR="00253403">
        <w:rPr>
          <w:rFonts w:ascii="Times New Roman" w:hAnsi="Times New Roman" w:cs="Times New Roman"/>
          <w:sz w:val="24"/>
        </w:rPr>
        <w:t xml:space="preserve"> 60k </w:t>
      </w:r>
      <w:r>
        <w:rPr>
          <w:rFonts w:ascii="Times New Roman" w:hAnsi="Times New Roman" w:cs="Times New Roman"/>
          <w:sz w:val="24"/>
        </w:rPr>
        <w:t>AF</w:t>
      </w:r>
      <w:r w:rsidR="00253403">
        <w:rPr>
          <w:rFonts w:ascii="Times New Roman" w:hAnsi="Times New Roman" w:cs="Times New Roman"/>
          <w:sz w:val="24"/>
        </w:rPr>
        <w:t xml:space="preserve"> (C</w:t>
      </w:r>
      <w:r>
        <w:rPr>
          <w:rFonts w:ascii="Times New Roman" w:hAnsi="Times New Roman" w:cs="Times New Roman"/>
          <w:sz w:val="24"/>
        </w:rPr>
        <w:t>ritically Dry</w:t>
      </w:r>
      <w:r w:rsidR="00253403">
        <w:rPr>
          <w:rFonts w:ascii="Times New Roman" w:hAnsi="Times New Roman" w:cs="Times New Roman"/>
          <w:sz w:val="24"/>
        </w:rPr>
        <w:t xml:space="preserve">) to 120k </w:t>
      </w:r>
      <w:r>
        <w:rPr>
          <w:rFonts w:ascii="Times New Roman" w:hAnsi="Times New Roman" w:cs="Times New Roman"/>
          <w:sz w:val="24"/>
        </w:rPr>
        <w:t>AF</w:t>
      </w:r>
      <w:r w:rsidR="00253403">
        <w:rPr>
          <w:rFonts w:ascii="Times New Roman" w:hAnsi="Times New Roman" w:cs="Times New Roman"/>
          <w:sz w:val="24"/>
        </w:rPr>
        <w:t xml:space="preserve"> (Normal</w:t>
      </w:r>
      <w:r w:rsidR="004E037E">
        <w:rPr>
          <w:rFonts w:ascii="Times New Roman" w:hAnsi="Times New Roman" w:cs="Times New Roman"/>
          <w:sz w:val="24"/>
        </w:rPr>
        <w:t xml:space="preserve"> or wetter</w:t>
      </w:r>
      <w:r w:rsidR="00253403">
        <w:rPr>
          <w:rFonts w:ascii="Times New Roman" w:hAnsi="Times New Roman" w:cs="Times New Roman"/>
          <w:sz w:val="24"/>
        </w:rPr>
        <w:t>)</w:t>
      </w:r>
    </w:p>
    <w:p w14:paraId="20C2A5C5" w14:textId="222FCF39" w:rsidR="00253403" w:rsidRDefault="00253403" w:rsidP="00253403">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Based on historic record (2004-20</w:t>
      </w:r>
      <w:r w:rsidR="005205CD">
        <w:rPr>
          <w:rFonts w:ascii="Times New Roman" w:hAnsi="Times New Roman" w:cs="Times New Roman"/>
          <w:sz w:val="24"/>
        </w:rPr>
        <w:t>19</w:t>
      </w:r>
      <w:r>
        <w:rPr>
          <w:rFonts w:ascii="Times New Roman" w:hAnsi="Times New Roman" w:cs="Times New Roman"/>
          <w:sz w:val="24"/>
        </w:rPr>
        <w:t xml:space="preserve">), the full volume proposed to be moved into winter in WVF </w:t>
      </w:r>
      <w:r w:rsidR="004E037E">
        <w:rPr>
          <w:rFonts w:ascii="Times New Roman" w:hAnsi="Times New Roman" w:cs="Times New Roman"/>
          <w:sz w:val="24"/>
        </w:rPr>
        <w:t xml:space="preserve">project </w:t>
      </w:r>
      <w:r>
        <w:rPr>
          <w:rFonts w:ascii="Times New Roman" w:hAnsi="Times New Roman" w:cs="Times New Roman"/>
          <w:sz w:val="24"/>
        </w:rPr>
        <w:t xml:space="preserve">would be achieved </w:t>
      </w:r>
      <w:r w:rsidR="008D43B5">
        <w:rPr>
          <w:rFonts w:ascii="Times New Roman" w:hAnsi="Times New Roman" w:cs="Times New Roman"/>
          <w:sz w:val="24"/>
        </w:rPr>
        <w:t xml:space="preserve">in </w:t>
      </w:r>
      <w:r w:rsidR="00E14158">
        <w:rPr>
          <w:rFonts w:ascii="Times New Roman" w:hAnsi="Times New Roman" w:cs="Times New Roman"/>
          <w:sz w:val="24"/>
        </w:rPr>
        <w:t>50</w:t>
      </w:r>
      <w:r>
        <w:rPr>
          <w:rFonts w:ascii="Times New Roman" w:hAnsi="Times New Roman" w:cs="Times New Roman"/>
          <w:sz w:val="24"/>
        </w:rPr>
        <w:t xml:space="preserve">% </w:t>
      </w:r>
      <w:r w:rsidR="008D43B5">
        <w:rPr>
          <w:rFonts w:ascii="Times New Roman" w:hAnsi="Times New Roman" w:cs="Times New Roman"/>
          <w:sz w:val="24"/>
        </w:rPr>
        <w:t>of years</w:t>
      </w:r>
    </w:p>
    <w:p w14:paraId="665E2BD7" w14:textId="7DBE613B" w:rsidR="00253403" w:rsidRDefault="008D43B5" w:rsidP="00253403">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As was well documented in the WVF report, p</w:t>
      </w:r>
      <w:r w:rsidR="00253403">
        <w:rPr>
          <w:rFonts w:ascii="Times New Roman" w:hAnsi="Times New Roman" w:cs="Times New Roman"/>
          <w:sz w:val="24"/>
        </w:rPr>
        <w:t xml:space="preserve">rotecting carryover storage in Trinity Reservoir is guaranteed by using </w:t>
      </w:r>
      <w:r w:rsidR="00516C1F">
        <w:rPr>
          <w:rFonts w:ascii="Times New Roman" w:hAnsi="Times New Roman" w:cs="Times New Roman"/>
          <w:sz w:val="24"/>
        </w:rPr>
        <w:t xml:space="preserve">the </w:t>
      </w:r>
      <w:r w:rsidR="00253403">
        <w:rPr>
          <w:rFonts w:ascii="Times New Roman" w:hAnsi="Times New Roman" w:cs="Times New Roman"/>
          <w:sz w:val="24"/>
        </w:rPr>
        <w:t xml:space="preserve">conservative </w:t>
      </w:r>
      <w:r w:rsidR="00516C1F">
        <w:rPr>
          <w:rFonts w:ascii="Times New Roman" w:hAnsi="Times New Roman" w:cs="Times New Roman"/>
          <w:sz w:val="24"/>
        </w:rPr>
        <w:t xml:space="preserve">B120 </w:t>
      </w:r>
      <w:r w:rsidR="00253403">
        <w:rPr>
          <w:rFonts w:ascii="Times New Roman" w:hAnsi="Times New Roman" w:cs="Times New Roman"/>
          <w:sz w:val="24"/>
        </w:rPr>
        <w:t xml:space="preserve">forecast </w:t>
      </w:r>
      <w:r w:rsidR="00516C1F">
        <w:rPr>
          <w:rFonts w:ascii="Times New Roman" w:hAnsi="Times New Roman" w:cs="Times New Roman"/>
          <w:sz w:val="24"/>
        </w:rPr>
        <w:t>(90% exceedance)</w:t>
      </w:r>
    </w:p>
    <w:p w14:paraId="45C4B690" w14:textId="2F64577F" w:rsidR="00253403" w:rsidRDefault="00253403" w:rsidP="00253403">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The predetermined 60k </w:t>
      </w:r>
      <w:r w:rsidR="00F04521">
        <w:rPr>
          <w:rFonts w:ascii="Times New Roman" w:hAnsi="Times New Roman" w:cs="Times New Roman"/>
          <w:sz w:val="24"/>
        </w:rPr>
        <w:t>AF</w:t>
      </w:r>
      <w:r>
        <w:rPr>
          <w:rFonts w:ascii="Times New Roman" w:hAnsi="Times New Roman" w:cs="Times New Roman"/>
          <w:sz w:val="24"/>
        </w:rPr>
        <w:t xml:space="preserve"> release Feb-April would provide certainty now to anglers</w:t>
      </w:r>
      <w:r w:rsidR="00F04521">
        <w:rPr>
          <w:rFonts w:ascii="Times New Roman" w:hAnsi="Times New Roman" w:cs="Times New Roman"/>
          <w:sz w:val="24"/>
        </w:rPr>
        <w:t xml:space="preserve"> and </w:t>
      </w:r>
      <w:r>
        <w:rPr>
          <w:rFonts w:ascii="Times New Roman" w:hAnsi="Times New Roman" w:cs="Times New Roman"/>
          <w:sz w:val="24"/>
        </w:rPr>
        <w:t xml:space="preserve">river users on flows </w:t>
      </w:r>
      <w:r w:rsidR="00095BB1">
        <w:rPr>
          <w:rFonts w:ascii="Times New Roman" w:hAnsi="Times New Roman" w:cs="Times New Roman"/>
          <w:sz w:val="24"/>
        </w:rPr>
        <w:t>through mid-March</w:t>
      </w:r>
      <w:r>
        <w:rPr>
          <w:rFonts w:ascii="Times New Roman" w:hAnsi="Times New Roman" w:cs="Times New Roman"/>
          <w:sz w:val="24"/>
        </w:rPr>
        <w:t>, with only two possible alternative increases in March</w:t>
      </w:r>
    </w:p>
    <w:p w14:paraId="269C9BE3" w14:textId="398886DC" w:rsidR="00253403" w:rsidRDefault="00095BB1" w:rsidP="00253403">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lastRenderedPageBreak/>
        <w:t>Releases r</w:t>
      </w:r>
      <w:r w:rsidR="00253403">
        <w:rPr>
          <w:rFonts w:ascii="Times New Roman" w:hAnsi="Times New Roman" w:cs="Times New Roman"/>
          <w:sz w:val="24"/>
        </w:rPr>
        <w:t>emains below 1,200 cfs and almost entirely below 800 cfs through Feb</w:t>
      </w:r>
      <w:r>
        <w:rPr>
          <w:rFonts w:ascii="Times New Roman" w:hAnsi="Times New Roman" w:cs="Times New Roman"/>
          <w:sz w:val="24"/>
        </w:rPr>
        <w:t>ruary</w:t>
      </w:r>
      <w:r w:rsidR="00253403">
        <w:rPr>
          <w:rFonts w:ascii="Times New Roman" w:hAnsi="Times New Roman" w:cs="Times New Roman"/>
          <w:sz w:val="24"/>
        </w:rPr>
        <w:t xml:space="preserve"> 15</w:t>
      </w:r>
      <w:r w:rsidRPr="00095BB1">
        <w:rPr>
          <w:rFonts w:ascii="Times New Roman" w:hAnsi="Times New Roman" w:cs="Times New Roman"/>
          <w:sz w:val="24"/>
          <w:vertAlign w:val="superscript"/>
        </w:rPr>
        <w:t>th</w:t>
      </w:r>
    </w:p>
    <w:p w14:paraId="61152AAE" w14:textId="363801F3" w:rsidR="00253403" w:rsidRDefault="00253403" w:rsidP="00253403">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Critically Dry March B120 </w:t>
      </w:r>
      <w:r w:rsidR="00095BB1">
        <w:rPr>
          <w:rFonts w:ascii="Times New Roman" w:hAnsi="Times New Roman" w:cs="Times New Roman"/>
          <w:sz w:val="24"/>
        </w:rPr>
        <w:t xml:space="preserve">forecast </w:t>
      </w:r>
      <w:r>
        <w:rPr>
          <w:rFonts w:ascii="Times New Roman" w:hAnsi="Times New Roman" w:cs="Times New Roman"/>
          <w:sz w:val="24"/>
        </w:rPr>
        <w:t xml:space="preserve">would provide 28 days </w:t>
      </w:r>
      <w:r w:rsidR="00315FB4">
        <w:rPr>
          <w:rFonts w:ascii="Times New Roman" w:hAnsi="Times New Roman" w:cs="Times New Roman"/>
          <w:sz w:val="24"/>
        </w:rPr>
        <w:t xml:space="preserve">less than </w:t>
      </w:r>
      <w:r>
        <w:rPr>
          <w:rFonts w:ascii="Times New Roman" w:hAnsi="Times New Roman" w:cs="Times New Roman"/>
          <w:sz w:val="24"/>
        </w:rPr>
        <w:t>1,200 cfs (3 days above)</w:t>
      </w:r>
    </w:p>
    <w:p w14:paraId="04133F8A" w14:textId="51886926" w:rsidR="00253403" w:rsidRDefault="00253403" w:rsidP="00253403">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Dry March B120 (+20k AF) </w:t>
      </w:r>
      <w:r w:rsidR="00095BB1">
        <w:rPr>
          <w:rFonts w:ascii="Times New Roman" w:hAnsi="Times New Roman" w:cs="Times New Roman"/>
          <w:sz w:val="24"/>
        </w:rPr>
        <w:t xml:space="preserve">forecast </w:t>
      </w:r>
      <w:r>
        <w:rPr>
          <w:rFonts w:ascii="Times New Roman" w:hAnsi="Times New Roman" w:cs="Times New Roman"/>
          <w:sz w:val="24"/>
        </w:rPr>
        <w:t xml:space="preserve">would provide 16 days </w:t>
      </w:r>
      <w:r w:rsidR="00315FB4">
        <w:rPr>
          <w:rFonts w:ascii="Times New Roman" w:hAnsi="Times New Roman" w:cs="Times New Roman"/>
          <w:sz w:val="24"/>
        </w:rPr>
        <w:t xml:space="preserve">less than </w:t>
      </w:r>
      <w:r>
        <w:rPr>
          <w:rFonts w:ascii="Times New Roman" w:hAnsi="Times New Roman" w:cs="Times New Roman"/>
          <w:sz w:val="24"/>
        </w:rPr>
        <w:t>1,200 cfs</w:t>
      </w:r>
    </w:p>
    <w:p w14:paraId="71793AF1" w14:textId="397AB444" w:rsidR="00253403" w:rsidRDefault="00253403" w:rsidP="00253403">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Normal or wetter March B120 </w:t>
      </w:r>
      <w:r w:rsidR="00412754">
        <w:rPr>
          <w:rFonts w:ascii="Times New Roman" w:hAnsi="Times New Roman" w:cs="Times New Roman"/>
          <w:sz w:val="24"/>
        </w:rPr>
        <w:t xml:space="preserve">forecast </w:t>
      </w:r>
      <w:r>
        <w:rPr>
          <w:rFonts w:ascii="Times New Roman" w:hAnsi="Times New Roman" w:cs="Times New Roman"/>
          <w:sz w:val="24"/>
        </w:rPr>
        <w:t xml:space="preserve">would provide more fishing opportunity (11 days </w:t>
      </w:r>
      <w:r w:rsidR="00315FB4">
        <w:rPr>
          <w:rFonts w:ascii="Times New Roman" w:hAnsi="Times New Roman" w:cs="Times New Roman"/>
          <w:sz w:val="24"/>
        </w:rPr>
        <w:t xml:space="preserve"> less than </w:t>
      </w:r>
      <w:r>
        <w:rPr>
          <w:rFonts w:ascii="Times New Roman" w:hAnsi="Times New Roman" w:cs="Times New Roman"/>
          <w:sz w:val="24"/>
        </w:rPr>
        <w:t>1,200 cfs vs. zero)</w:t>
      </w:r>
      <w:r w:rsidRPr="007A5596">
        <w:rPr>
          <w:rFonts w:ascii="Times New Roman" w:hAnsi="Times New Roman" w:cs="Times New Roman"/>
          <w:sz w:val="24"/>
        </w:rPr>
        <w:t xml:space="preserve"> </w:t>
      </w:r>
      <w:r>
        <w:rPr>
          <w:rFonts w:ascii="Times New Roman" w:hAnsi="Times New Roman" w:cs="Times New Roman"/>
          <w:sz w:val="24"/>
        </w:rPr>
        <w:t>compared to previous WVF proposal</w:t>
      </w:r>
      <w:r w:rsidR="00412754">
        <w:rPr>
          <w:rFonts w:ascii="Times New Roman" w:hAnsi="Times New Roman" w:cs="Times New Roman"/>
          <w:sz w:val="24"/>
        </w:rPr>
        <w:t>.</w:t>
      </w:r>
    </w:p>
    <w:p w14:paraId="52D71707" w14:textId="039DA23D" w:rsidR="00253403" w:rsidRDefault="00253403" w:rsidP="00253403">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Release</w:t>
      </w:r>
      <w:r w:rsidR="00412754">
        <w:rPr>
          <w:rFonts w:ascii="Times New Roman" w:hAnsi="Times New Roman" w:cs="Times New Roman"/>
          <w:sz w:val="24"/>
        </w:rPr>
        <w:t>s</w:t>
      </w:r>
      <w:r>
        <w:rPr>
          <w:rFonts w:ascii="Times New Roman" w:hAnsi="Times New Roman" w:cs="Times New Roman"/>
          <w:sz w:val="24"/>
        </w:rPr>
        <w:t xml:space="preserve"> would be 872 or 1,169 </w:t>
      </w:r>
      <w:r w:rsidR="00412754">
        <w:rPr>
          <w:rFonts w:ascii="Times New Roman" w:hAnsi="Times New Roman" w:cs="Times New Roman"/>
          <w:sz w:val="24"/>
        </w:rPr>
        <w:t xml:space="preserve">cfs </w:t>
      </w:r>
      <w:r>
        <w:rPr>
          <w:rFonts w:ascii="Times New Roman" w:hAnsi="Times New Roman" w:cs="Times New Roman"/>
          <w:sz w:val="24"/>
        </w:rPr>
        <w:t>on April 1</w:t>
      </w:r>
      <w:r w:rsidRPr="00236BBD">
        <w:rPr>
          <w:rFonts w:ascii="Times New Roman" w:hAnsi="Times New Roman" w:cs="Times New Roman"/>
          <w:sz w:val="24"/>
          <w:vertAlign w:val="superscript"/>
        </w:rPr>
        <w:t>st</w:t>
      </w:r>
      <w:r>
        <w:rPr>
          <w:rFonts w:ascii="Times New Roman" w:hAnsi="Times New Roman" w:cs="Times New Roman"/>
          <w:sz w:val="24"/>
        </w:rPr>
        <w:t xml:space="preserve"> for </w:t>
      </w:r>
      <w:r w:rsidR="00412754">
        <w:rPr>
          <w:rFonts w:ascii="Times New Roman" w:hAnsi="Times New Roman" w:cs="Times New Roman"/>
          <w:sz w:val="24"/>
        </w:rPr>
        <w:t xml:space="preserve">the </w:t>
      </w:r>
      <w:r>
        <w:rPr>
          <w:rFonts w:ascii="Times New Roman" w:hAnsi="Times New Roman" w:cs="Times New Roman"/>
          <w:sz w:val="24"/>
        </w:rPr>
        <w:t>fly water opener (would have been up to 1,764 cfs)</w:t>
      </w:r>
      <w:r w:rsidR="00412754">
        <w:rPr>
          <w:rFonts w:ascii="Times New Roman" w:hAnsi="Times New Roman" w:cs="Times New Roman"/>
          <w:sz w:val="24"/>
        </w:rPr>
        <w:t>.</w:t>
      </w:r>
    </w:p>
    <w:p w14:paraId="371C1AAB" w14:textId="144DC6FE" w:rsidR="000A1760" w:rsidRDefault="00253403" w:rsidP="00766B77">
      <w:pPr>
        <w:pStyle w:val="ListParagraph"/>
        <w:numPr>
          <w:ilvl w:val="0"/>
          <w:numId w:val="3"/>
        </w:numPr>
        <w:spacing w:after="0"/>
        <w:rPr>
          <w:rFonts w:ascii="Times New Roman" w:hAnsi="Times New Roman" w:cs="Times New Roman"/>
          <w:sz w:val="24"/>
        </w:rPr>
      </w:pPr>
      <w:r w:rsidRPr="00766B77">
        <w:rPr>
          <w:rFonts w:ascii="Times New Roman" w:hAnsi="Times New Roman" w:cs="Times New Roman"/>
          <w:sz w:val="24"/>
        </w:rPr>
        <w:t>Peaks</w:t>
      </w:r>
      <w:r w:rsidR="00315FB4">
        <w:rPr>
          <w:rFonts w:ascii="Times New Roman" w:hAnsi="Times New Roman" w:cs="Times New Roman"/>
          <w:sz w:val="24"/>
        </w:rPr>
        <w:t xml:space="preserve"> are scheduled to</w:t>
      </w:r>
      <w:r w:rsidRPr="00766B77">
        <w:rPr>
          <w:rFonts w:ascii="Times New Roman" w:hAnsi="Times New Roman" w:cs="Times New Roman"/>
          <w:sz w:val="24"/>
        </w:rPr>
        <w:t xml:space="preserve"> occur on weekdays to reduce impacts to angling (assuming more angling occurs on weekends)</w:t>
      </w:r>
      <w:r w:rsidR="00766B77">
        <w:rPr>
          <w:rFonts w:ascii="Times New Roman" w:hAnsi="Times New Roman" w:cs="Times New Roman"/>
          <w:sz w:val="24"/>
        </w:rPr>
        <w:t>.</w:t>
      </w:r>
    </w:p>
    <w:p w14:paraId="577224B2" w14:textId="77777777" w:rsidR="00766B77" w:rsidRPr="00766B77" w:rsidRDefault="00766B77" w:rsidP="00766B77">
      <w:pPr>
        <w:pStyle w:val="ListParagraph"/>
        <w:spacing w:after="0"/>
        <w:rPr>
          <w:rFonts w:ascii="Times New Roman" w:hAnsi="Times New Roman" w:cs="Times New Roman"/>
          <w:sz w:val="24"/>
        </w:rPr>
      </w:pPr>
    </w:p>
    <w:p w14:paraId="5C5F754E" w14:textId="024B0E57" w:rsidR="0086534E" w:rsidRDefault="005D199E" w:rsidP="005D199E">
      <w:pPr>
        <w:spacing w:after="0"/>
        <w:jc w:val="center"/>
        <w:rPr>
          <w:rFonts w:ascii="Times New Roman" w:hAnsi="Times New Roman" w:cs="Times New Roman"/>
          <w:sz w:val="24"/>
        </w:rPr>
      </w:pPr>
      <w:r>
        <w:rPr>
          <w:rFonts w:ascii="Times New Roman" w:hAnsi="Times New Roman" w:cs="Times New Roman"/>
          <w:noProof/>
          <w:sz w:val="24"/>
        </w:rPr>
        <w:drawing>
          <wp:inline distT="0" distB="0" distL="0" distR="0" wp14:anchorId="1471E3F1" wp14:editId="76538EC6">
            <wp:extent cx="5486400" cy="3657600"/>
            <wp:effectExtent l="0" t="0" r="0" b="0"/>
            <wp:docPr id="1464189240" name="Picture 1" descr="Chart, line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189240" name="Picture 1" descr="Chart, line chart, histo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31450737" w14:textId="016299A5" w:rsidR="00671C9C" w:rsidRDefault="00671C9C" w:rsidP="00671C9C">
      <w:pPr>
        <w:spacing w:after="0"/>
        <w:rPr>
          <w:rFonts w:ascii="Times New Roman" w:hAnsi="Times New Roman" w:cs="Times New Roman"/>
          <w:sz w:val="24"/>
        </w:rPr>
      </w:pPr>
      <w:r>
        <w:rPr>
          <w:rFonts w:ascii="Times New Roman" w:hAnsi="Times New Roman" w:cs="Times New Roman"/>
          <w:sz w:val="24"/>
        </w:rPr>
        <w:t>Figure 1</w:t>
      </w:r>
      <w:r w:rsidR="00764139">
        <w:rPr>
          <w:rFonts w:ascii="Times New Roman" w:hAnsi="Times New Roman" w:cs="Times New Roman"/>
          <w:sz w:val="24"/>
        </w:rPr>
        <w:t>.</w:t>
      </w:r>
      <w:r>
        <w:rPr>
          <w:rFonts w:ascii="Times New Roman" w:hAnsi="Times New Roman" w:cs="Times New Roman"/>
          <w:sz w:val="24"/>
        </w:rPr>
        <w:t xml:space="preserve"> </w:t>
      </w:r>
      <w:r w:rsidR="00514855">
        <w:rPr>
          <w:rFonts w:ascii="Times New Roman" w:hAnsi="Times New Roman" w:cs="Times New Roman"/>
          <w:sz w:val="24"/>
        </w:rPr>
        <w:t xml:space="preserve">Proposed hydrograph components for releases from Lewiston Dam </w:t>
      </w:r>
      <w:r w:rsidR="00315FB4">
        <w:rPr>
          <w:rFonts w:ascii="Times New Roman" w:hAnsi="Times New Roman" w:cs="Times New Roman"/>
          <w:sz w:val="24"/>
        </w:rPr>
        <w:t xml:space="preserve">from </w:t>
      </w:r>
      <w:r w:rsidR="00BD57E9">
        <w:rPr>
          <w:rFonts w:ascii="Times New Roman" w:hAnsi="Times New Roman" w:cs="Times New Roman"/>
          <w:sz w:val="24"/>
        </w:rPr>
        <w:t>February 15</w:t>
      </w:r>
      <w:r w:rsidR="00BD57E9" w:rsidRPr="00BD57E9">
        <w:rPr>
          <w:rFonts w:ascii="Times New Roman" w:hAnsi="Times New Roman" w:cs="Times New Roman"/>
          <w:sz w:val="24"/>
          <w:vertAlign w:val="superscript"/>
        </w:rPr>
        <w:t>th</w:t>
      </w:r>
      <w:r w:rsidR="00BD57E9">
        <w:rPr>
          <w:rFonts w:ascii="Times New Roman" w:hAnsi="Times New Roman" w:cs="Times New Roman"/>
          <w:sz w:val="24"/>
        </w:rPr>
        <w:t xml:space="preserve"> to April 1</w:t>
      </w:r>
      <w:r w:rsidR="00AF20B8">
        <w:rPr>
          <w:rFonts w:ascii="Times New Roman" w:hAnsi="Times New Roman" w:cs="Times New Roman"/>
          <w:sz w:val="24"/>
        </w:rPr>
        <w:t>4</w:t>
      </w:r>
      <w:r w:rsidR="00BD57E9" w:rsidRPr="00BD57E9">
        <w:rPr>
          <w:rFonts w:ascii="Times New Roman" w:hAnsi="Times New Roman" w:cs="Times New Roman"/>
          <w:sz w:val="24"/>
          <w:vertAlign w:val="superscript"/>
        </w:rPr>
        <w:t>th</w:t>
      </w:r>
      <w:r w:rsidR="00BD57E9">
        <w:rPr>
          <w:rFonts w:ascii="Times New Roman" w:hAnsi="Times New Roman" w:cs="Times New Roman"/>
          <w:sz w:val="24"/>
        </w:rPr>
        <w:t>, 2024.</w:t>
      </w:r>
      <w:r w:rsidR="00E80C0C">
        <w:rPr>
          <w:rFonts w:ascii="Times New Roman" w:hAnsi="Times New Roman" w:cs="Times New Roman"/>
          <w:sz w:val="24"/>
        </w:rPr>
        <w:t xml:space="preserve"> The solid black line depicts a </w:t>
      </w:r>
      <w:r w:rsidR="008653A4">
        <w:rPr>
          <w:rFonts w:ascii="Times New Roman" w:hAnsi="Times New Roman" w:cs="Times New Roman"/>
          <w:sz w:val="24"/>
        </w:rPr>
        <w:t>60k acre-f</w:t>
      </w:r>
      <w:r w:rsidR="001D54C0">
        <w:rPr>
          <w:rFonts w:ascii="Times New Roman" w:hAnsi="Times New Roman" w:cs="Times New Roman"/>
          <w:sz w:val="24"/>
        </w:rPr>
        <w:t>ee</w:t>
      </w:r>
      <w:r w:rsidR="008653A4">
        <w:rPr>
          <w:rFonts w:ascii="Times New Roman" w:hAnsi="Times New Roman" w:cs="Times New Roman"/>
          <w:sz w:val="24"/>
        </w:rPr>
        <w:t xml:space="preserve">t release that would occur regardless of water year forecast, and the solid blue and red lines depict </w:t>
      </w:r>
      <w:r w:rsidR="003D3942">
        <w:rPr>
          <w:rFonts w:ascii="Times New Roman" w:hAnsi="Times New Roman" w:cs="Times New Roman"/>
          <w:sz w:val="24"/>
        </w:rPr>
        <w:t>20k and 60k acre-f</w:t>
      </w:r>
      <w:r w:rsidR="001D54C0">
        <w:rPr>
          <w:rFonts w:ascii="Times New Roman" w:hAnsi="Times New Roman" w:cs="Times New Roman"/>
          <w:sz w:val="24"/>
        </w:rPr>
        <w:t>ee</w:t>
      </w:r>
      <w:r w:rsidR="003D3942">
        <w:rPr>
          <w:rFonts w:ascii="Times New Roman" w:hAnsi="Times New Roman" w:cs="Times New Roman"/>
          <w:sz w:val="24"/>
        </w:rPr>
        <w:t>t releases that would occur if the March B120 forecast is for a Dry or Norma</w:t>
      </w:r>
      <w:r w:rsidR="001C21E4">
        <w:rPr>
          <w:rFonts w:ascii="Times New Roman" w:hAnsi="Times New Roman" w:cs="Times New Roman"/>
          <w:sz w:val="24"/>
        </w:rPr>
        <w:t>l</w:t>
      </w:r>
      <w:r w:rsidR="003D3942">
        <w:rPr>
          <w:rFonts w:ascii="Times New Roman" w:hAnsi="Times New Roman" w:cs="Times New Roman"/>
          <w:sz w:val="24"/>
        </w:rPr>
        <w:t xml:space="preserve"> (or wetter) </w:t>
      </w:r>
      <w:r w:rsidR="001C21E4">
        <w:rPr>
          <w:rFonts w:ascii="Times New Roman" w:hAnsi="Times New Roman" w:cs="Times New Roman"/>
          <w:sz w:val="24"/>
        </w:rPr>
        <w:t xml:space="preserve">water year. The dashed red line depicts </w:t>
      </w:r>
      <w:r w:rsidR="001B0B81">
        <w:rPr>
          <w:rFonts w:ascii="Times New Roman" w:hAnsi="Times New Roman" w:cs="Times New Roman"/>
          <w:sz w:val="24"/>
        </w:rPr>
        <w:t>a 60k acre-f</w:t>
      </w:r>
      <w:r w:rsidR="001D54C0">
        <w:rPr>
          <w:rFonts w:ascii="Times New Roman" w:hAnsi="Times New Roman" w:cs="Times New Roman"/>
          <w:sz w:val="24"/>
        </w:rPr>
        <w:t>ee</w:t>
      </w:r>
      <w:r w:rsidR="001B0B81">
        <w:rPr>
          <w:rFonts w:ascii="Times New Roman" w:hAnsi="Times New Roman" w:cs="Times New Roman"/>
          <w:sz w:val="24"/>
        </w:rPr>
        <w:t xml:space="preserve">t release that was included in the original FWG recommendation that is no longer </w:t>
      </w:r>
      <w:r w:rsidR="00A45E92">
        <w:rPr>
          <w:rFonts w:ascii="Times New Roman" w:hAnsi="Times New Roman" w:cs="Times New Roman"/>
          <w:sz w:val="24"/>
        </w:rPr>
        <w:t>under consideration.</w:t>
      </w:r>
    </w:p>
    <w:p w14:paraId="2A0516F2" w14:textId="77777777" w:rsidR="00A45E92" w:rsidRDefault="00A45E92" w:rsidP="00671C9C">
      <w:pPr>
        <w:spacing w:after="0"/>
        <w:rPr>
          <w:rFonts w:ascii="Times New Roman" w:hAnsi="Times New Roman" w:cs="Times New Roman"/>
          <w:sz w:val="24"/>
        </w:rPr>
      </w:pPr>
    </w:p>
    <w:p w14:paraId="1234047D" w14:textId="39CA2153" w:rsidR="005949C1" w:rsidRDefault="00433F8D" w:rsidP="008E5953">
      <w:pPr>
        <w:spacing w:after="0"/>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43A132F9" wp14:editId="4794FD67">
            <wp:extent cx="5939790" cy="4197985"/>
            <wp:effectExtent l="0" t="0" r="3810" b="0"/>
            <wp:docPr id="6714840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4197985"/>
                    </a:xfrm>
                    <a:prstGeom prst="rect">
                      <a:avLst/>
                    </a:prstGeom>
                    <a:noFill/>
                    <a:ln>
                      <a:noFill/>
                    </a:ln>
                  </pic:spPr>
                </pic:pic>
              </a:graphicData>
            </a:graphic>
          </wp:inline>
        </w:drawing>
      </w:r>
    </w:p>
    <w:p w14:paraId="3E609215" w14:textId="70B3BF2B" w:rsidR="00AC423F" w:rsidRDefault="00AC423F" w:rsidP="008E5953">
      <w:pPr>
        <w:spacing w:after="0"/>
        <w:rPr>
          <w:rFonts w:ascii="Times New Roman" w:hAnsi="Times New Roman" w:cs="Times New Roman"/>
          <w:sz w:val="24"/>
        </w:rPr>
      </w:pPr>
      <w:r>
        <w:rPr>
          <w:rFonts w:ascii="Times New Roman" w:hAnsi="Times New Roman" w:cs="Times New Roman"/>
          <w:sz w:val="24"/>
        </w:rPr>
        <w:t>Figure 2</w:t>
      </w:r>
      <w:r w:rsidR="00764139">
        <w:rPr>
          <w:rFonts w:ascii="Times New Roman" w:hAnsi="Times New Roman" w:cs="Times New Roman"/>
          <w:sz w:val="24"/>
        </w:rPr>
        <w:t>.</w:t>
      </w:r>
      <w:r>
        <w:rPr>
          <w:rFonts w:ascii="Times New Roman" w:hAnsi="Times New Roman" w:cs="Times New Roman"/>
          <w:sz w:val="24"/>
        </w:rPr>
        <w:t xml:space="preserve"> </w:t>
      </w:r>
      <w:r w:rsidR="008105A8">
        <w:rPr>
          <w:rFonts w:ascii="Times New Roman" w:hAnsi="Times New Roman" w:cs="Times New Roman"/>
          <w:sz w:val="24"/>
        </w:rPr>
        <w:t xml:space="preserve">Decision tree for implementing winter variable flows </w:t>
      </w:r>
      <w:r w:rsidR="00315FB4">
        <w:rPr>
          <w:rFonts w:ascii="Times New Roman" w:hAnsi="Times New Roman" w:cs="Times New Roman"/>
          <w:sz w:val="24"/>
        </w:rPr>
        <w:t xml:space="preserve">from </w:t>
      </w:r>
      <w:r w:rsidR="008105A8">
        <w:rPr>
          <w:rFonts w:ascii="Times New Roman" w:hAnsi="Times New Roman" w:cs="Times New Roman"/>
          <w:sz w:val="24"/>
        </w:rPr>
        <w:t>February 15</w:t>
      </w:r>
      <w:r w:rsidR="008105A8" w:rsidRPr="008105A8">
        <w:rPr>
          <w:rFonts w:ascii="Times New Roman" w:hAnsi="Times New Roman" w:cs="Times New Roman"/>
          <w:sz w:val="24"/>
          <w:vertAlign w:val="superscript"/>
        </w:rPr>
        <w:t>th</w:t>
      </w:r>
      <w:r w:rsidR="008105A8">
        <w:rPr>
          <w:rFonts w:ascii="Times New Roman" w:hAnsi="Times New Roman" w:cs="Times New Roman"/>
          <w:sz w:val="24"/>
        </w:rPr>
        <w:t xml:space="preserve"> to April 14</w:t>
      </w:r>
      <w:r w:rsidR="008105A8" w:rsidRPr="008105A8">
        <w:rPr>
          <w:rFonts w:ascii="Times New Roman" w:hAnsi="Times New Roman" w:cs="Times New Roman"/>
          <w:sz w:val="24"/>
          <w:vertAlign w:val="superscript"/>
        </w:rPr>
        <w:t>th</w:t>
      </w:r>
      <w:r w:rsidR="008105A8">
        <w:rPr>
          <w:rFonts w:ascii="Times New Roman" w:hAnsi="Times New Roman" w:cs="Times New Roman"/>
          <w:sz w:val="24"/>
        </w:rPr>
        <w:t xml:space="preserve">, 2024. </w:t>
      </w:r>
      <w:r w:rsidR="0024561C">
        <w:rPr>
          <w:rFonts w:ascii="Times New Roman" w:hAnsi="Times New Roman" w:cs="Times New Roman"/>
          <w:sz w:val="24"/>
        </w:rPr>
        <w:t>Hydrographs for each component are shown in Figure 1.</w:t>
      </w:r>
    </w:p>
    <w:p w14:paraId="105F6BBD" w14:textId="77777777" w:rsidR="007E0525" w:rsidRDefault="007E0525" w:rsidP="008E5953">
      <w:pPr>
        <w:spacing w:after="0"/>
        <w:rPr>
          <w:rFonts w:ascii="Times New Roman" w:hAnsi="Times New Roman" w:cs="Times New Roman"/>
          <w:sz w:val="24"/>
        </w:rPr>
      </w:pPr>
    </w:p>
    <w:p w14:paraId="447C38C4" w14:textId="5EF0DB58" w:rsidR="00574881" w:rsidRDefault="008B6555" w:rsidP="008B6555">
      <w:pPr>
        <w:spacing w:after="0"/>
        <w:rPr>
          <w:rFonts w:ascii="Times New Roman" w:hAnsi="Times New Roman" w:cs="Times New Roman"/>
          <w:sz w:val="24"/>
        </w:rPr>
      </w:pPr>
      <w:r>
        <w:rPr>
          <w:rFonts w:ascii="Times New Roman" w:hAnsi="Times New Roman" w:cs="Times New Roman"/>
          <w:sz w:val="24"/>
        </w:rPr>
        <w:t xml:space="preserve">While this revised </w:t>
      </w:r>
      <w:r w:rsidR="008222EF">
        <w:rPr>
          <w:rFonts w:ascii="Times New Roman" w:hAnsi="Times New Roman" w:cs="Times New Roman"/>
          <w:sz w:val="24"/>
        </w:rPr>
        <w:t xml:space="preserve">recommendation preserves some portion of the </w:t>
      </w:r>
      <w:r w:rsidR="004D63F6">
        <w:rPr>
          <w:rFonts w:ascii="Times New Roman" w:hAnsi="Times New Roman" w:cs="Times New Roman"/>
          <w:sz w:val="24"/>
        </w:rPr>
        <w:t xml:space="preserve">original </w:t>
      </w:r>
      <w:r w:rsidR="008222EF">
        <w:rPr>
          <w:rFonts w:ascii="Times New Roman" w:hAnsi="Times New Roman" w:cs="Times New Roman"/>
          <w:sz w:val="24"/>
        </w:rPr>
        <w:t xml:space="preserve">WVF proposal, it is important to recognize that </w:t>
      </w:r>
      <w:r w:rsidR="007F4F84">
        <w:rPr>
          <w:rFonts w:ascii="Times New Roman" w:hAnsi="Times New Roman" w:cs="Times New Roman"/>
          <w:sz w:val="24"/>
        </w:rPr>
        <w:t>as</w:t>
      </w:r>
      <w:r w:rsidR="004A2766">
        <w:rPr>
          <w:rFonts w:ascii="Times New Roman" w:hAnsi="Times New Roman" w:cs="Times New Roman"/>
          <w:sz w:val="24"/>
        </w:rPr>
        <w:t xml:space="preserve"> a </w:t>
      </w:r>
      <w:r>
        <w:rPr>
          <w:rFonts w:ascii="Times New Roman" w:hAnsi="Times New Roman" w:cs="Times New Roman"/>
          <w:sz w:val="24"/>
        </w:rPr>
        <w:t>reduced action</w:t>
      </w:r>
      <w:r w:rsidR="004A2766">
        <w:rPr>
          <w:rFonts w:ascii="Times New Roman" w:hAnsi="Times New Roman" w:cs="Times New Roman"/>
          <w:sz w:val="24"/>
        </w:rPr>
        <w:t xml:space="preserve"> it </w:t>
      </w:r>
      <w:r w:rsidR="009B6BCE">
        <w:rPr>
          <w:rFonts w:ascii="Times New Roman" w:hAnsi="Times New Roman" w:cs="Times New Roman"/>
          <w:sz w:val="24"/>
        </w:rPr>
        <w:t>can</w:t>
      </w:r>
      <w:r w:rsidR="004A2766">
        <w:rPr>
          <w:rFonts w:ascii="Times New Roman" w:hAnsi="Times New Roman" w:cs="Times New Roman"/>
          <w:sz w:val="24"/>
        </w:rPr>
        <w:t xml:space="preserve"> only </w:t>
      </w:r>
      <w:r w:rsidR="009B6BCE">
        <w:rPr>
          <w:rFonts w:ascii="Times New Roman" w:hAnsi="Times New Roman" w:cs="Times New Roman"/>
          <w:sz w:val="24"/>
        </w:rPr>
        <w:t xml:space="preserve">be </w:t>
      </w:r>
      <w:r w:rsidR="004A2766">
        <w:rPr>
          <w:rFonts w:ascii="Times New Roman" w:hAnsi="Times New Roman" w:cs="Times New Roman"/>
          <w:sz w:val="24"/>
        </w:rPr>
        <w:t xml:space="preserve">expected to meet </w:t>
      </w:r>
      <w:r w:rsidR="00B07710">
        <w:rPr>
          <w:rFonts w:ascii="Times New Roman" w:hAnsi="Times New Roman" w:cs="Times New Roman"/>
          <w:sz w:val="24"/>
        </w:rPr>
        <w:t xml:space="preserve">objectives of the WVF proposal under limited conditions. Specifically, </w:t>
      </w:r>
      <w:r w:rsidR="006A0DF2">
        <w:rPr>
          <w:rFonts w:ascii="Times New Roman" w:hAnsi="Times New Roman" w:cs="Times New Roman"/>
          <w:sz w:val="24"/>
        </w:rPr>
        <w:t xml:space="preserve">we should only expect to meet objectives and have </w:t>
      </w:r>
      <w:r w:rsidR="00A703E2">
        <w:rPr>
          <w:rFonts w:ascii="Times New Roman" w:hAnsi="Times New Roman" w:cs="Times New Roman"/>
          <w:sz w:val="24"/>
        </w:rPr>
        <w:t>potential for measurable results if there is no trigger event during the synchronized flow period</w:t>
      </w:r>
      <w:r w:rsidR="00105646">
        <w:rPr>
          <w:rFonts w:ascii="Times New Roman" w:hAnsi="Times New Roman" w:cs="Times New Roman"/>
          <w:sz w:val="24"/>
        </w:rPr>
        <w:t>,</w:t>
      </w:r>
      <w:r w:rsidR="00574881">
        <w:rPr>
          <w:rFonts w:ascii="Times New Roman" w:hAnsi="Times New Roman" w:cs="Times New Roman"/>
          <w:sz w:val="24"/>
        </w:rPr>
        <w:t xml:space="preserve"> </w:t>
      </w:r>
      <w:r w:rsidR="003D2725">
        <w:rPr>
          <w:rFonts w:ascii="Times New Roman" w:hAnsi="Times New Roman" w:cs="Times New Roman"/>
          <w:sz w:val="24"/>
        </w:rPr>
        <w:t xml:space="preserve">the February B120 90% forecast is for a Dry or Critically Dry WY, and the </w:t>
      </w:r>
      <w:r w:rsidR="00E63245">
        <w:rPr>
          <w:rFonts w:ascii="Times New Roman" w:hAnsi="Times New Roman" w:cs="Times New Roman"/>
          <w:sz w:val="24"/>
        </w:rPr>
        <w:t>March B120 90% forecast is for a Normal or drier WY.</w:t>
      </w:r>
      <w:r w:rsidR="00B15E61">
        <w:rPr>
          <w:rFonts w:ascii="Times New Roman" w:hAnsi="Times New Roman" w:cs="Times New Roman"/>
          <w:sz w:val="24"/>
        </w:rPr>
        <w:t xml:space="preserve"> </w:t>
      </w:r>
      <w:r w:rsidR="00451CEE">
        <w:rPr>
          <w:rFonts w:ascii="Times New Roman" w:hAnsi="Times New Roman" w:cs="Times New Roman"/>
          <w:sz w:val="24"/>
        </w:rPr>
        <w:t xml:space="preserve">One of the most important </w:t>
      </w:r>
      <w:r w:rsidR="00E8620C">
        <w:rPr>
          <w:rFonts w:ascii="Times New Roman" w:hAnsi="Times New Roman" w:cs="Times New Roman"/>
          <w:sz w:val="24"/>
        </w:rPr>
        <w:t>parts of the original WVF proposal is the volume of water moved out of the spring release to reduce temperature suppression of growth</w:t>
      </w:r>
      <w:r w:rsidR="00895B61">
        <w:rPr>
          <w:rFonts w:ascii="Times New Roman" w:hAnsi="Times New Roman" w:cs="Times New Roman"/>
          <w:sz w:val="24"/>
        </w:rPr>
        <w:t xml:space="preserve"> for juvenile salmonids. By limiting th</w:t>
      </w:r>
      <w:r w:rsidR="00274CAB">
        <w:rPr>
          <w:rFonts w:ascii="Times New Roman" w:hAnsi="Times New Roman" w:cs="Times New Roman"/>
          <w:sz w:val="24"/>
        </w:rPr>
        <w:t>e</w:t>
      </w:r>
      <w:r w:rsidR="00895B61">
        <w:rPr>
          <w:rFonts w:ascii="Times New Roman" w:hAnsi="Times New Roman" w:cs="Times New Roman"/>
          <w:sz w:val="24"/>
        </w:rPr>
        <w:t xml:space="preserve"> volume, this benefit is substantially compromised in Wet and Extremely Wet </w:t>
      </w:r>
      <w:r w:rsidR="00B855BB">
        <w:rPr>
          <w:rFonts w:ascii="Times New Roman" w:hAnsi="Times New Roman" w:cs="Times New Roman"/>
          <w:sz w:val="24"/>
        </w:rPr>
        <w:t>WYs</w:t>
      </w:r>
      <w:r w:rsidR="00315FB4">
        <w:rPr>
          <w:rFonts w:ascii="Times New Roman" w:hAnsi="Times New Roman" w:cs="Times New Roman"/>
          <w:sz w:val="24"/>
        </w:rPr>
        <w:t xml:space="preserve"> as detailed in the WVF report</w:t>
      </w:r>
      <w:r w:rsidR="00B855BB">
        <w:rPr>
          <w:rFonts w:ascii="Times New Roman" w:hAnsi="Times New Roman" w:cs="Times New Roman"/>
          <w:sz w:val="24"/>
        </w:rPr>
        <w:t xml:space="preserve">. These are also the water year types in which temperature suppression is greatest, and thus the </w:t>
      </w:r>
      <w:r w:rsidR="007D2DCD">
        <w:rPr>
          <w:rFonts w:ascii="Times New Roman" w:hAnsi="Times New Roman" w:cs="Times New Roman"/>
          <w:sz w:val="24"/>
        </w:rPr>
        <w:t xml:space="preserve">benefit of moving water is the </w:t>
      </w:r>
      <w:r w:rsidR="00315FB4">
        <w:rPr>
          <w:rFonts w:ascii="Times New Roman" w:hAnsi="Times New Roman" w:cs="Times New Roman"/>
          <w:sz w:val="24"/>
        </w:rPr>
        <w:t>greatest of all water year types</w:t>
      </w:r>
      <w:r w:rsidR="007D2DCD">
        <w:rPr>
          <w:rFonts w:ascii="Times New Roman" w:hAnsi="Times New Roman" w:cs="Times New Roman"/>
          <w:sz w:val="24"/>
        </w:rPr>
        <w:t xml:space="preserve">. In addition, excluding the possibility of a synchronized </w:t>
      </w:r>
      <w:r w:rsidR="005D347E">
        <w:rPr>
          <w:rFonts w:ascii="Times New Roman" w:hAnsi="Times New Roman" w:cs="Times New Roman"/>
          <w:sz w:val="24"/>
        </w:rPr>
        <w:t>flow event removes the benefit of scouring flows to food web development</w:t>
      </w:r>
      <w:r w:rsidR="00B007BB">
        <w:rPr>
          <w:rFonts w:ascii="Times New Roman" w:hAnsi="Times New Roman" w:cs="Times New Roman"/>
          <w:sz w:val="24"/>
        </w:rPr>
        <w:t xml:space="preserve"> and routing of sediment from tributaries</w:t>
      </w:r>
      <w:r w:rsidR="005D347E">
        <w:rPr>
          <w:rFonts w:ascii="Times New Roman" w:hAnsi="Times New Roman" w:cs="Times New Roman"/>
          <w:sz w:val="24"/>
        </w:rPr>
        <w:t xml:space="preserve"> in the upper river.</w:t>
      </w:r>
    </w:p>
    <w:p w14:paraId="4EBA1FBF" w14:textId="77777777" w:rsidR="00BD3483" w:rsidRDefault="00BD3483" w:rsidP="00766B77">
      <w:pPr>
        <w:spacing w:after="0"/>
        <w:rPr>
          <w:rFonts w:ascii="Times New Roman" w:hAnsi="Times New Roman" w:cs="Times New Roman"/>
          <w:sz w:val="24"/>
        </w:rPr>
      </w:pPr>
    </w:p>
    <w:p w14:paraId="5F8BAAB3" w14:textId="2CFBA7B7" w:rsidR="00860DB1" w:rsidRDefault="00CC0D74" w:rsidP="00766B77">
      <w:pPr>
        <w:spacing w:after="0"/>
        <w:rPr>
          <w:rFonts w:ascii="Times New Roman" w:hAnsi="Times New Roman" w:cs="Times New Roman"/>
          <w:sz w:val="24"/>
        </w:rPr>
      </w:pPr>
      <w:r>
        <w:rPr>
          <w:rFonts w:ascii="Times New Roman" w:hAnsi="Times New Roman" w:cs="Times New Roman"/>
          <w:b/>
          <w:bCs/>
          <w:sz w:val="24"/>
          <w:u w:val="single"/>
        </w:rPr>
        <w:t>Analyses of recommended flow schedules</w:t>
      </w:r>
    </w:p>
    <w:p w14:paraId="23230076" w14:textId="77777777" w:rsidR="00CC0D74" w:rsidRDefault="00CC0D74" w:rsidP="00766B77">
      <w:pPr>
        <w:spacing w:after="0"/>
        <w:rPr>
          <w:rFonts w:ascii="Times New Roman" w:hAnsi="Times New Roman" w:cs="Times New Roman"/>
          <w:sz w:val="24"/>
        </w:rPr>
      </w:pPr>
    </w:p>
    <w:p w14:paraId="680D5A67" w14:textId="389A3354" w:rsidR="00CC0D74" w:rsidRDefault="00B05555" w:rsidP="00766B77">
      <w:pPr>
        <w:spacing w:after="0"/>
        <w:rPr>
          <w:rFonts w:ascii="Times New Roman" w:hAnsi="Times New Roman" w:cs="Times New Roman"/>
          <w:sz w:val="24"/>
        </w:rPr>
      </w:pPr>
      <w:r>
        <w:rPr>
          <w:rFonts w:ascii="Times New Roman" w:hAnsi="Times New Roman" w:cs="Times New Roman"/>
          <w:sz w:val="24"/>
        </w:rPr>
        <w:t xml:space="preserve">Trinity County requested that any new </w:t>
      </w:r>
      <w:r w:rsidR="00A560FD">
        <w:rPr>
          <w:rFonts w:ascii="Times New Roman" w:hAnsi="Times New Roman" w:cs="Times New Roman"/>
          <w:sz w:val="24"/>
        </w:rPr>
        <w:t xml:space="preserve">flow recommendation be evaluated </w:t>
      </w:r>
      <w:r w:rsidR="007A4863">
        <w:rPr>
          <w:rFonts w:ascii="Times New Roman" w:hAnsi="Times New Roman" w:cs="Times New Roman"/>
          <w:sz w:val="24"/>
        </w:rPr>
        <w:t>with</w:t>
      </w:r>
      <w:r w:rsidR="00A560FD">
        <w:rPr>
          <w:rFonts w:ascii="Times New Roman" w:hAnsi="Times New Roman" w:cs="Times New Roman"/>
          <w:sz w:val="24"/>
        </w:rPr>
        <w:t xml:space="preserve"> the Decision Support System </w:t>
      </w:r>
      <w:r w:rsidR="00AD2D67">
        <w:rPr>
          <w:rFonts w:ascii="Times New Roman" w:hAnsi="Times New Roman" w:cs="Times New Roman"/>
          <w:sz w:val="24"/>
        </w:rPr>
        <w:t xml:space="preserve">(DSS) </w:t>
      </w:r>
      <w:r w:rsidR="00A560FD">
        <w:rPr>
          <w:rFonts w:ascii="Times New Roman" w:hAnsi="Times New Roman" w:cs="Times New Roman"/>
          <w:sz w:val="24"/>
        </w:rPr>
        <w:t xml:space="preserve">used </w:t>
      </w:r>
      <w:r w:rsidR="00D25AB8">
        <w:rPr>
          <w:rFonts w:ascii="Times New Roman" w:hAnsi="Times New Roman" w:cs="Times New Roman"/>
          <w:sz w:val="24"/>
        </w:rPr>
        <w:t xml:space="preserve">to make annual flow management decisions for the spring release. </w:t>
      </w:r>
      <w:r w:rsidR="002E4180">
        <w:rPr>
          <w:rFonts w:ascii="Times New Roman" w:hAnsi="Times New Roman" w:cs="Times New Roman"/>
          <w:sz w:val="24"/>
        </w:rPr>
        <w:lastRenderedPageBreak/>
        <w:t xml:space="preserve">The FWG decided </w:t>
      </w:r>
      <w:r w:rsidR="00E74E3E">
        <w:rPr>
          <w:rFonts w:ascii="Times New Roman" w:hAnsi="Times New Roman" w:cs="Times New Roman"/>
          <w:sz w:val="24"/>
        </w:rPr>
        <w:t xml:space="preserve">to present alternative analyses for a few reasons. </w:t>
      </w:r>
      <w:r w:rsidR="00276ADB">
        <w:rPr>
          <w:rFonts w:ascii="Times New Roman" w:hAnsi="Times New Roman" w:cs="Times New Roman"/>
          <w:sz w:val="24"/>
        </w:rPr>
        <w:t>The current DSS</w:t>
      </w:r>
      <w:r w:rsidR="002E4180">
        <w:rPr>
          <w:rFonts w:ascii="Times New Roman" w:hAnsi="Times New Roman" w:cs="Times New Roman"/>
          <w:sz w:val="24"/>
        </w:rPr>
        <w:t xml:space="preserve"> </w:t>
      </w:r>
      <w:r w:rsidR="00E13C21">
        <w:rPr>
          <w:rFonts w:ascii="Times New Roman" w:hAnsi="Times New Roman" w:cs="Times New Roman"/>
          <w:sz w:val="24"/>
        </w:rPr>
        <w:t>is focused on and has only been used for flow management decisions for the spring release period, starting mid-April.</w:t>
      </w:r>
      <w:r w:rsidR="00DB726F">
        <w:rPr>
          <w:rFonts w:ascii="Times New Roman" w:hAnsi="Times New Roman" w:cs="Times New Roman"/>
          <w:sz w:val="24"/>
        </w:rPr>
        <w:t xml:space="preserve"> Consequently, it includes several analyses that </w:t>
      </w:r>
      <w:r w:rsidR="003647E1">
        <w:rPr>
          <w:rFonts w:ascii="Times New Roman" w:hAnsi="Times New Roman" w:cs="Times New Roman"/>
          <w:sz w:val="24"/>
        </w:rPr>
        <w:t xml:space="preserve">are not relevant to flow management earlier in the year (e.g., riparian </w:t>
      </w:r>
      <w:r w:rsidR="00DF72DF">
        <w:rPr>
          <w:rFonts w:ascii="Times New Roman" w:hAnsi="Times New Roman" w:cs="Times New Roman"/>
          <w:sz w:val="24"/>
        </w:rPr>
        <w:t xml:space="preserve">and </w:t>
      </w:r>
      <w:r w:rsidR="003D1E25">
        <w:rPr>
          <w:rFonts w:ascii="Times New Roman" w:hAnsi="Times New Roman" w:cs="Times New Roman"/>
          <w:sz w:val="24"/>
        </w:rPr>
        <w:t>Foothill Yellow-legged Frog</w:t>
      </w:r>
      <w:r w:rsidR="003D1E25" w:rsidRPr="003D1E25">
        <w:rPr>
          <w:rFonts w:ascii="Times New Roman" w:hAnsi="Times New Roman" w:cs="Times New Roman"/>
          <w:sz w:val="24"/>
        </w:rPr>
        <w:t xml:space="preserve"> </w:t>
      </w:r>
      <w:r w:rsidR="003D1E25">
        <w:rPr>
          <w:rFonts w:ascii="Times New Roman" w:hAnsi="Times New Roman" w:cs="Times New Roman"/>
          <w:sz w:val="24"/>
        </w:rPr>
        <w:t xml:space="preserve">recruitment) or </w:t>
      </w:r>
      <w:r w:rsidR="00C42385">
        <w:rPr>
          <w:rFonts w:ascii="Times New Roman" w:hAnsi="Times New Roman" w:cs="Times New Roman"/>
          <w:sz w:val="24"/>
        </w:rPr>
        <w:t>objectives that are not possible to meet with a limited WVF implementation (</w:t>
      </w:r>
      <w:r w:rsidR="00873FC9">
        <w:rPr>
          <w:rFonts w:ascii="Times New Roman" w:hAnsi="Times New Roman" w:cs="Times New Roman"/>
          <w:sz w:val="24"/>
        </w:rPr>
        <w:t>i.e., geomorphic bedload transport).</w:t>
      </w:r>
      <w:r w:rsidR="007875FF">
        <w:rPr>
          <w:rFonts w:ascii="Times New Roman" w:hAnsi="Times New Roman" w:cs="Times New Roman"/>
          <w:sz w:val="24"/>
        </w:rPr>
        <w:t xml:space="preserve"> </w:t>
      </w:r>
      <w:r w:rsidR="00EB6FD1">
        <w:rPr>
          <w:rFonts w:ascii="Times New Roman" w:hAnsi="Times New Roman" w:cs="Times New Roman"/>
          <w:sz w:val="24"/>
        </w:rPr>
        <w:t xml:space="preserve">However, results of analyses that are relevant to winter releases are presented here. </w:t>
      </w:r>
      <w:r w:rsidR="007875FF">
        <w:rPr>
          <w:rFonts w:ascii="Times New Roman" w:hAnsi="Times New Roman" w:cs="Times New Roman"/>
          <w:sz w:val="24"/>
        </w:rPr>
        <w:t>The ori</w:t>
      </w:r>
      <w:r w:rsidR="006D62F2">
        <w:rPr>
          <w:rFonts w:ascii="Times New Roman" w:hAnsi="Times New Roman" w:cs="Times New Roman"/>
          <w:sz w:val="24"/>
        </w:rPr>
        <w:t xml:space="preserve">ginal WVF proposal and the reduced action recommended here preserve sufficient water volume for the spring release to </w:t>
      </w:r>
      <w:r w:rsidR="0008200F">
        <w:rPr>
          <w:rFonts w:ascii="Times New Roman" w:hAnsi="Times New Roman" w:cs="Times New Roman"/>
          <w:sz w:val="24"/>
        </w:rPr>
        <w:t>meet objectives for that flow management period</w:t>
      </w:r>
      <w:r w:rsidR="00491470">
        <w:rPr>
          <w:rFonts w:ascii="Times New Roman" w:hAnsi="Times New Roman" w:cs="Times New Roman"/>
          <w:sz w:val="24"/>
        </w:rPr>
        <w:t xml:space="preserve"> (Abel et al. 2022)</w:t>
      </w:r>
      <w:r w:rsidR="00315FB4">
        <w:rPr>
          <w:rFonts w:ascii="Times New Roman" w:hAnsi="Times New Roman" w:cs="Times New Roman"/>
          <w:sz w:val="24"/>
        </w:rPr>
        <w:t>.</w:t>
      </w:r>
      <w:r w:rsidR="002B3A25">
        <w:rPr>
          <w:rFonts w:ascii="Times New Roman" w:hAnsi="Times New Roman" w:cs="Times New Roman"/>
          <w:sz w:val="24"/>
        </w:rPr>
        <w:t xml:space="preserve"> </w:t>
      </w:r>
      <w:r w:rsidR="00315FB4">
        <w:rPr>
          <w:rFonts w:ascii="Times New Roman" w:hAnsi="Times New Roman" w:cs="Times New Roman"/>
          <w:sz w:val="24"/>
        </w:rPr>
        <w:t>T</w:t>
      </w:r>
      <w:r w:rsidR="00E10A5D">
        <w:rPr>
          <w:rFonts w:ascii="Times New Roman" w:hAnsi="Times New Roman" w:cs="Times New Roman"/>
          <w:sz w:val="24"/>
        </w:rPr>
        <w:t xml:space="preserve">he FWG will develop and recommend flow schedules </w:t>
      </w:r>
      <w:r w:rsidR="00315FB4">
        <w:rPr>
          <w:rFonts w:ascii="Times New Roman" w:hAnsi="Times New Roman" w:cs="Times New Roman"/>
          <w:sz w:val="24"/>
        </w:rPr>
        <w:t>for the period starting April 15</w:t>
      </w:r>
      <w:r w:rsidR="00315FB4" w:rsidRPr="002B3A25">
        <w:rPr>
          <w:rFonts w:ascii="Times New Roman" w:hAnsi="Times New Roman" w:cs="Times New Roman"/>
          <w:sz w:val="24"/>
          <w:vertAlign w:val="superscript"/>
        </w:rPr>
        <w:t>th</w:t>
      </w:r>
      <w:r w:rsidR="00315FB4">
        <w:rPr>
          <w:rFonts w:ascii="Times New Roman" w:hAnsi="Times New Roman" w:cs="Times New Roman"/>
          <w:sz w:val="24"/>
        </w:rPr>
        <w:t xml:space="preserve"> </w:t>
      </w:r>
      <w:r w:rsidR="00E10A5D">
        <w:rPr>
          <w:rFonts w:ascii="Times New Roman" w:hAnsi="Times New Roman" w:cs="Times New Roman"/>
          <w:sz w:val="24"/>
        </w:rPr>
        <w:t>in the coming months</w:t>
      </w:r>
      <w:r w:rsidR="00491470">
        <w:rPr>
          <w:rFonts w:ascii="Times New Roman" w:hAnsi="Times New Roman" w:cs="Times New Roman"/>
          <w:sz w:val="24"/>
        </w:rPr>
        <w:t>.</w:t>
      </w:r>
    </w:p>
    <w:p w14:paraId="6CA786B6" w14:textId="77777777" w:rsidR="00E13C21" w:rsidRPr="00CC0D74" w:rsidRDefault="00E13C21" w:rsidP="00766B77">
      <w:pPr>
        <w:spacing w:after="0"/>
        <w:rPr>
          <w:rFonts w:ascii="Times New Roman" w:hAnsi="Times New Roman" w:cs="Times New Roman"/>
          <w:sz w:val="24"/>
        </w:rPr>
      </w:pPr>
    </w:p>
    <w:p w14:paraId="10F6359C" w14:textId="68850336" w:rsidR="00F962DD" w:rsidRDefault="009D2196" w:rsidP="00F962DD">
      <w:pPr>
        <w:spacing w:after="0"/>
        <w:rPr>
          <w:rFonts w:ascii="Times New Roman" w:hAnsi="Times New Roman" w:cs="Times New Roman"/>
          <w:sz w:val="24"/>
        </w:rPr>
      </w:pPr>
      <w:r>
        <w:rPr>
          <w:rFonts w:ascii="Times New Roman" w:hAnsi="Times New Roman" w:cs="Times New Roman"/>
          <w:sz w:val="24"/>
        </w:rPr>
        <w:t xml:space="preserve">Before presenting modelling results for the </w:t>
      </w:r>
      <w:r w:rsidR="003D7089">
        <w:rPr>
          <w:rFonts w:ascii="Times New Roman" w:hAnsi="Times New Roman" w:cs="Times New Roman"/>
          <w:sz w:val="24"/>
        </w:rPr>
        <w:t xml:space="preserve">reduced </w:t>
      </w:r>
      <w:r w:rsidR="004A3340">
        <w:rPr>
          <w:rFonts w:ascii="Times New Roman" w:hAnsi="Times New Roman" w:cs="Times New Roman"/>
          <w:sz w:val="24"/>
        </w:rPr>
        <w:t>recommendation, it is important to n</w:t>
      </w:r>
      <w:r w:rsidR="00F962DD">
        <w:rPr>
          <w:rFonts w:ascii="Times New Roman" w:hAnsi="Times New Roman" w:cs="Times New Roman"/>
          <w:sz w:val="24"/>
        </w:rPr>
        <w:t>ote that</w:t>
      </w:r>
      <w:r w:rsidR="004A3340">
        <w:rPr>
          <w:rFonts w:ascii="Times New Roman" w:hAnsi="Times New Roman" w:cs="Times New Roman"/>
          <w:sz w:val="24"/>
        </w:rPr>
        <w:t xml:space="preserve"> a</w:t>
      </w:r>
      <w:r w:rsidR="00F962DD">
        <w:rPr>
          <w:rFonts w:ascii="Times New Roman" w:hAnsi="Times New Roman" w:cs="Times New Roman"/>
          <w:sz w:val="24"/>
        </w:rPr>
        <w:t xml:space="preserve"> key objective of </w:t>
      </w:r>
      <w:r w:rsidR="00E14A4E">
        <w:rPr>
          <w:rFonts w:ascii="Times New Roman" w:hAnsi="Times New Roman" w:cs="Times New Roman"/>
          <w:sz w:val="24"/>
        </w:rPr>
        <w:t xml:space="preserve">the original </w:t>
      </w:r>
      <w:r w:rsidR="00F962DD">
        <w:rPr>
          <w:rFonts w:ascii="Times New Roman" w:hAnsi="Times New Roman" w:cs="Times New Roman"/>
          <w:sz w:val="24"/>
        </w:rPr>
        <w:t xml:space="preserve">WVF </w:t>
      </w:r>
      <w:r w:rsidR="00E14A4E">
        <w:rPr>
          <w:rFonts w:ascii="Times New Roman" w:hAnsi="Times New Roman" w:cs="Times New Roman"/>
          <w:sz w:val="24"/>
        </w:rPr>
        <w:t xml:space="preserve">recommendation was increased </w:t>
      </w:r>
      <w:r w:rsidR="00F962DD">
        <w:rPr>
          <w:rFonts w:ascii="Times New Roman" w:hAnsi="Times New Roman" w:cs="Times New Roman"/>
          <w:sz w:val="24"/>
        </w:rPr>
        <w:t>food production from scour and inundation</w:t>
      </w:r>
      <w:r w:rsidR="004A05E7">
        <w:rPr>
          <w:rFonts w:ascii="Times New Roman" w:hAnsi="Times New Roman" w:cs="Times New Roman"/>
          <w:sz w:val="24"/>
        </w:rPr>
        <w:t>, but it</w:t>
      </w:r>
      <w:r w:rsidR="00F962DD">
        <w:rPr>
          <w:rFonts w:ascii="Times New Roman" w:hAnsi="Times New Roman" w:cs="Times New Roman"/>
          <w:sz w:val="24"/>
        </w:rPr>
        <w:t xml:space="preserve"> was not analyzed directly in WVF report </w:t>
      </w:r>
      <w:r w:rsidR="004A05E7">
        <w:rPr>
          <w:rFonts w:ascii="Times New Roman" w:hAnsi="Times New Roman" w:cs="Times New Roman"/>
          <w:sz w:val="24"/>
        </w:rPr>
        <w:t>(or here) due to</w:t>
      </w:r>
      <w:r w:rsidR="00F962DD">
        <w:rPr>
          <w:rFonts w:ascii="Times New Roman" w:hAnsi="Times New Roman" w:cs="Times New Roman"/>
          <w:sz w:val="24"/>
        </w:rPr>
        <w:t xml:space="preserve"> lack of model</w:t>
      </w:r>
      <w:r w:rsidR="004A05E7">
        <w:rPr>
          <w:rFonts w:ascii="Times New Roman" w:hAnsi="Times New Roman" w:cs="Times New Roman"/>
          <w:sz w:val="24"/>
        </w:rPr>
        <w:t xml:space="preserve">s or </w:t>
      </w:r>
      <w:r w:rsidR="00F962DD">
        <w:rPr>
          <w:rFonts w:ascii="Times New Roman" w:hAnsi="Times New Roman" w:cs="Times New Roman"/>
          <w:sz w:val="24"/>
        </w:rPr>
        <w:t xml:space="preserve">empirical data. However, monitoring was in place for </w:t>
      </w:r>
      <w:r w:rsidR="006F6878">
        <w:rPr>
          <w:rFonts w:ascii="Times New Roman" w:hAnsi="Times New Roman" w:cs="Times New Roman"/>
          <w:sz w:val="24"/>
        </w:rPr>
        <w:t xml:space="preserve">the </w:t>
      </w:r>
      <w:r w:rsidR="00F962DD">
        <w:rPr>
          <w:rFonts w:ascii="Times New Roman" w:hAnsi="Times New Roman" w:cs="Times New Roman"/>
          <w:sz w:val="24"/>
        </w:rPr>
        <w:t xml:space="preserve">WY23 implementation and sample collection is planned for WY24 if </w:t>
      </w:r>
      <w:r w:rsidR="006F7893">
        <w:rPr>
          <w:rFonts w:ascii="Times New Roman" w:hAnsi="Times New Roman" w:cs="Times New Roman"/>
          <w:sz w:val="24"/>
        </w:rPr>
        <w:t>elevated winter baseflows are</w:t>
      </w:r>
      <w:r w:rsidR="00A74424">
        <w:rPr>
          <w:rFonts w:ascii="Times New Roman" w:hAnsi="Times New Roman" w:cs="Times New Roman"/>
          <w:sz w:val="24"/>
        </w:rPr>
        <w:t xml:space="preserve"> </w:t>
      </w:r>
      <w:r w:rsidR="00F962DD">
        <w:rPr>
          <w:rFonts w:ascii="Times New Roman" w:hAnsi="Times New Roman" w:cs="Times New Roman"/>
          <w:sz w:val="24"/>
        </w:rPr>
        <w:t>implemented. Funding would need to be provided to process samples and analyze data.</w:t>
      </w:r>
      <w:r w:rsidR="007E46EC">
        <w:rPr>
          <w:rFonts w:ascii="Times New Roman" w:hAnsi="Times New Roman" w:cs="Times New Roman"/>
          <w:sz w:val="24"/>
        </w:rPr>
        <w:t xml:space="preserve"> In addition, the </w:t>
      </w:r>
      <w:r w:rsidR="00D80012">
        <w:rPr>
          <w:rFonts w:ascii="Times New Roman" w:hAnsi="Times New Roman" w:cs="Times New Roman"/>
          <w:sz w:val="24"/>
        </w:rPr>
        <w:t>modification</w:t>
      </w:r>
      <w:r w:rsidR="00845969">
        <w:rPr>
          <w:rFonts w:ascii="Times New Roman" w:hAnsi="Times New Roman" w:cs="Times New Roman"/>
          <w:sz w:val="24"/>
        </w:rPr>
        <w:t xml:space="preserve"> made</w:t>
      </w:r>
      <w:r w:rsidR="00D80012">
        <w:rPr>
          <w:rFonts w:ascii="Times New Roman" w:hAnsi="Times New Roman" w:cs="Times New Roman"/>
          <w:sz w:val="24"/>
        </w:rPr>
        <w:t xml:space="preserve"> to the 60k AF component for March 15</w:t>
      </w:r>
      <w:r w:rsidR="00D80012" w:rsidRPr="00D80012">
        <w:rPr>
          <w:rFonts w:ascii="Times New Roman" w:hAnsi="Times New Roman" w:cs="Times New Roman"/>
          <w:sz w:val="24"/>
          <w:vertAlign w:val="superscript"/>
        </w:rPr>
        <w:t>th</w:t>
      </w:r>
      <w:r w:rsidR="00D80012">
        <w:rPr>
          <w:rFonts w:ascii="Times New Roman" w:hAnsi="Times New Roman" w:cs="Times New Roman"/>
          <w:sz w:val="24"/>
        </w:rPr>
        <w:t xml:space="preserve"> to April 14</w:t>
      </w:r>
      <w:r w:rsidR="00D80012" w:rsidRPr="00D80012">
        <w:rPr>
          <w:rFonts w:ascii="Times New Roman" w:hAnsi="Times New Roman" w:cs="Times New Roman"/>
          <w:sz w:val="24"/>
          <w:vertAlign w:val="superscript"/>
        </w:rPr>
        <w:t>th</w:t>
      </w:r>
      <w:r w:rsidR="00D80012">
        <w:rPr>
          <w:rFonts w:ascii="Times New Roman" w:hAnsi="Times New Roman" w:cs="Times New Roman"/>
          <w:sz w:val="24"/>
        </w:rPr>
        <w:t xml:space="preserve"> </w:t>
      </w:r>
      <w:r w:rsidR="00845969">
        <w:rPr>
          <w:rFonts w:ascii="Times New Roman" w:hAnsi="Times New Roman" w:cs="Times New Roman"/>
          <w:sz w:val="24"/>
        </w:rPr>
        <w:t>to reduce impacts to anglers and other river users (</w:t>
      </w:r>
      <w:r w:rsidR="00D0179B">
        <w:rPr>
          <w:rFonts w:ascii="Times New Roman" w:hAnsi="Times New Roman" w:cs="Times New Roman"/>
          <w:sz w:val="24"/>
        </w:rPr>
        <w:t xml:space="preserve">i.e., reducing baseflow between peaks) also reduces </w:t>
      </w:r>
      <w:r w:rsidR="00056A15">
        <w:rPr>
          <w:rFonts w:ascii="Times New Roman" w:hAnsi="Times New Roman" w:cs="Times New Roman"/>
          <w:sz w:val="24"/>
        </w:rPr>
        <w:t xml:space="preserve">the area of sustained inundation, which in turn is expected to reduce </w:t>
      </w:r>
      <w:r w:rsidR="00FD706C">
        <w:rPr>
          <w:rFonts w:ascii="Times New Roman" w:hAnsi="Times New Roman" w:cs="Times New Roman"/>
          <w:sz w:val="24"/>
        </w:rPr>
        <w:t>food web productivity relative to the original recommendation.</w:t>
      </w:r>
    </w:p>
    <w:p w14:paraId="507351B3" w14:textId="77777777" w:rsidR="00F962DD" w:rsidRDefault="00F962DD" w:rsidP="00F962DD">
      <w:pPr>
        <w:spacing w:after="0"/>
        <w:rPr>
          <w:rFonts w:ascii="Times New Roman" w:hAnsi="Times New Roman" w:cs="Times New Roman"/>
          <w:sz w:val="24"/>
        </w:rPr>
      </w:pPr>
    </w:p>
    <w:p w14:paraId="618F2C17" w14:textId="44FE9BB2" w:rsidR="00F962DD" w:rsidRDefault="0018425C" w:rsidP="008E5953">
      <w:pPr>
        <w:spacing w:after="0"/>
        <w:rPr>
          <w:rFonts w:ascii="Times New Roman" w:hAnsi="Times New Roman" w:cs="Times New Roman"/>
          <w:sz w:val="24"/>
        </w:rPr>
      </w:pPr>
      <w:r>
        <w:rPr>
          <w:rFonts w:ascii="Times New Roman" w:hAnsi="Times New Roman" w:cs="Times New Roman"/>
          <w:sz w:val="24"/>
        </w:rPr>
        <w:t xml:space="preserve">Analyses </w:t>
      </w:r>
      <w:r w:rsidR="00AB3512">
        <w:rPr>
          <w:rFonts w:ascii="Times New Roman" w:hAnsi="Times New Roman" w:cs="Times New Roman"/>
          <w:sz w:val="24"/>
        </w:rPr>
        <w:t xml:space="preserve">and </w:t>
      </w:r>
      <w:r w:rsidR="003A5ADD">
        <w:rPr>
          <w:rFonts w:ascii="Times New Roman" w:hAnsi="Times New Roman" w:cs="Times New Roman"/>
          <w:sz w:val="24"/>
        </w:rPr>
        <w:t xml:space="preserve">some language </w:t>
      </w:r>
      <w:r>
        <w:rPr>
          <w:rFonts w:ascii="Times New Roman" w:hAnsi="Times New Roman" w:cs="Times New Roman"/>
          <w:sz w:val="24"/>
        </w:rPr>
        <w:t xml:space="preserve">presented here were taken directly from </w:t>
      </w:r>
      <w:r w:rsidR="00633963">
        <w:rPr>
          <w:rFonts w:ascii="Times New Roman" w:hAnsi="Times New Roman" w:cs="Times New Roman"/>
          <w:sz w:val="24"/>
        </w:rPr>
        <w:t>the WVF report (Abel et al. 2022) for years in which observed hydrologic conditions</w:t>
      </w:r>
      <w:r w:rsidR="00C817AF">
        <w:rPr>
          <w:rFonts w:ascii="Times New Roman" w:hAnsi="Times New Roman" w:cs="Times New Roman"/>
          <w:sz w:val="24"/>
        </w:rPr>
        <w:t xml:space="preserve"> and B120 forecasts would have resulted in the</w:t>
      </w:r>
      <w:r w:rsidR="007E46EC">
        <w:rPr>
          <w:rFonts w:ascii="Times New Roman" w:hAnsi="Times New Roman" w:cs="Times New Roman"/>
          <w:sz w:val="24"/>
        </w:rPr>
        <w:t xml:space="preserve"> same </w:t>
      </w:r>
      <w:r w:rsidR="00FD706C">
        <w:rPr>
          <w:rFonts w:ascii="Times New Roman" w:hAnsi="Times New Roman" w:cs="Times New Roman"/>
          <w:sz w:val="24"/>
        </w:rPr>
        <w:t xml:space="preserve">volumes of water moved into the winter period. </w:t>
      </w:r>
      <w:r w:rsidR="00625EEC">
        <w:rPr>
          <w:rFonts w:ascii="Times New Roman" w:hAnsi="Times New Roman" w:cs="Times New Roman"/>
          <w:sz w:val="24"/>
        </w:rPr>
        <w:t xml:space="preserve">Specifically, </w:t>
      </w:r>
      <w:r w:rsidR="008313B9">
        <w:rPr>
          <w:rFonts w:ascii="Times New Roman" w:hAnsi="Times New Roman" w:cs="Times New Roman"/>
          <w:sz w:val="24"/>
        </w:rPr>
        <w:t xml:space="preserve">years in which </w:t>
      </w:r>
      <w:r w:rsidR="00625EEC">
        <w:rPr>
          <w:rFonts w:ascii="Times New Roman" w:hAnsi="Times New Roman" w:cs="Times New Roman"/>
          <w:sz w:val="24"/>
        </w:rPr>
        <w:t xml:space="preserve">no trigger event occurred during the flow synchronization period, the February B120 forecasted a </w:t>
      </w:r>
      <w:r w:rsidR="005065E9">
        <w:rPr>
          <w:rFonts w:ascii="Times New Roman" w:hAnsi="Times New Roman" w:cs="Times New Roman"/>
          <w:sz w:val="24"/>
        </w:rPr>
        <w:t xml:space="preserve">Critically Dry or Dry </w:t>
      </w:r>
      <w:r w:rsidR="008313B9">
        <w:rPr>
          <w:rFonts w:ascii="Times New Roman" w:hAnsi="Times New Roman" w:cs="Times New Roman"/>
          <w:sz w:val="24"/>
        </w:rPr>
        <w:t>water year</w:t>
      </w:r>
      <w:r w:rsidR="005065E9">
        <w:rPr>
          <w:rFonts w:ascii="Times New Roman" w:hAnsi="Times New Roman" w:cs="Times New Roman"/>
          <w:sz w:val="24"/>
        </w:rPr>
        <w:t xml:space="preserve">, and the March B120 forecasted a Normal or drier </w:t>
      </w:r>
      <w:r w:rsidR="008313B9">
        <w:rPr>
          <w:rFonts w:ascii="Times New Roman" w:hAnsi="Times New Roman" w:cs="Times New Roman"/>
          <w:sz w:val="24"/>
        </w:rPr>
        <w:t>water year</w:t>
      </w:r>
      <w:r w:rsidR="005065E9">
        <w:rPr>
          <w:rFonts w:ascii="Times New Roman" w:hAnsi="Times New Roman" w:cs="Times New Roman"/>
          <w:sz w:val="24"/>
        </w:rPr>
        <w:t xml:space="preserve">. </w:t>
      </w:r>
      <w:r w:rsidR="00736B9B">
        <w:rPr>
          <w:rFonts w:ascii="Times New Roman" w:hAnsi="Times New Roman" w:cs="Times New Roman"/>
          <w:sz w:val="24"/>
        </w:rPr>
        <w:t>These conditions occurred in eight of the sixteen years (50%) analyzed.</w:t>
      </w:r>
      <w:r w:rsidR="00C81F42">
        <w:rPr>
          <w:rFonts w:ascii="Times New Roman" w:hAnsi="Times New Roman" w:cs="Times New Roman"/>
          <w:sz w:val="24"/>
        </w:rPr>
        <w:t xml:space="preserve"> Detailed methods </w:t>
      </w:r>
      <w:r w:rsidR="0002211B">
        <w:rPr>
          <w:rFonts w:ascii="Times New Roman" w:hAnsi="Times New Roman" w:cs="Times New Roman"/>
          <w:sz w:val="24"/>
        </w:rPr>
        <w:t xml:space="preserve">and additional information can be found in Abel et al. (2022). Here we present results and </w:t>
      </w:r>
      <w:r w:rsidR="00D26EFC">
        <w:rPr>
          <w:rFonts w:ascii="Times New Roman" w:hAnsi="Times New Roman" w:cs="Times New Roman"/>
          <w:sz w:val="24"/>
        </w:rPr>
        <w:t xml:space="preserve">interpretations relevant to the </w:t>
      </w:r>
      <w:r w:rsidR="00A104FE">
        <w:rPr>
          <w:rFonts w:ascii="Times New Roman" w:hAnsi="Times New Roman" w:cs="Times New Roman"/>
          <w:sz w:val="24"/>
        </w:rPr>
        <w:t>limited set of years.</w:t>
      </w:r>
      <w:r w:rsidR="003A5ADD">
        <w:rPr>
          <w:rFonts w:ascii="Times New Roman" w:hAnsi="Times New Roman" w:cs="Times New Roman"/>
          <w:sz w:val="24"/>
        </w:rPr>
        <w:t xml:space="preserve"> Citation for Abel et al. (2022) should be considered implicit throughout</w:t>
      </w:r>
      <w:r w:rsidR="0087605D">
        <w:rPr>
          <w:rFonts w:ascii="Times New Roman" w:hAnsi="Times New Roman" w:cs="Times New Roman"/>
          <w:sz w:val="24"/>
        </w:rPr>
        <w:t xml:space="preserve"> and some language was used </w:t>
      </w:r>
      <w:r w:rsidR="00240084">
        <w:rPr>
          <w:rFonts w:ascii="Times New Roman" w:hAnsi="Times New Roman" w:cs="Times New Roman"/>
          <w:sz w:val="24"/>
        </w:rPr>
        <w:t>verbatim</w:t>
      </w:r>
      <w:r w:rsidR="0087605D">
        <w:rPr>
          <w:rFonts w:ascii="Times New Roman" w:hAnsi="Times New Roman" w:cs="Times New Roman"/>
          <w:sz w:val="24"/>
        </w:rPr>
        <w:t xml:space="preserve"> without </w:t>
      </w:r>
      <w:r w:rsidR="00235448">
        <w:rPr>
          <w:rFonts w:ascii="Times New Roman" w:hAnsi="Times New Roman" w:cs="Times New Roman"/>
          <w:sz w:val="24"/>
        </w:rPr>
        <w:t>quoting</w:t>
      </w:r>
      <w:r w:rsidR="003A5ADD">
        <w:rPr>
          <w:rFonts w:ascii="Times New Roman" w:hAnsi="Times New Roman" w:cs="Times New Roman"/>
          <w:sz w:val="24"/>
        </w:rPr>
        <w:t>.</w:t>
      </w:r>
    </w:p>
    <w:p w14:paraId="4F27734F" w14:textId="77777777" w:rsidR="0026778E" w:rsidRDefault="0026778E" w:rsidP="008E5953">
      <w:pPr>
        <w:spacing w:after="0"/>
        <w:rPr>
          <w:rFonts w:ascii="Times New Roman" w:hAnsi="Times New Roman" w:cs="Times New Roman"/>
          <w:sz w:val="24"/>
        </w:rPr>
      </w:pPr>
    </w:p>
    <w:p w14:paraId="2E28712E" w14:textId="5662AD79" w:rsidR="0026778E" w:rsidRDefault="0091586A" w:rsidP="008E5953">
      <w:pPr>
        <w:spacing w:after="0"/>
        <w:rPr>
          <w:rFonts w:ascii="Times New Roman" w:hAnsi="Times New Roman" w:cs="Times New Roman"/>
          <w:sz w:val="24"/>
        </w:rPr>
      </w:pPr>
      <w:r w:rsidRPr="0091586A">
        <w:rPr>
          <w:rFonts w:ascii="Times New Roman" w:hAnsi="Times New Roman" w:cs="Times New Roman"/>
          <w:sz w:val="24"/>
          <w:u w:val="single"/>
        </w:rPr>
        <w:t>Adult holding and juvenile rearing temperature targets</w:t>
      </w:r>
    </w:p>
    <w:p w14:paraId="4E34EF8A" w14:textId="2CA5E934" w:rsidR="0091586A" w:rsidRDefault="00475BCC" w:rsidP="008E5953">
      <w:pPr>
        <w:spacing w:after="0"/>
        <w:rPr>
          <w:rFonts w:ascii="Times New Roman" w:hAnsi="Times New Roman" w:cs="Times New Roman"/>
          <w:sz w:val="24"/>
        </w:rPr>
      </w:pPr>
      <w:r>
        <w:rPr>
          <w:rFonts w:ascii="Times New Roman" w:hAnsi="Times New Roman" w:cs="Times New Roman"/>
          <w:sz w:val="24"/>
        </w:rPr>
        <w:t>Under ROD flow management</w:t>
      </w:r>
      <w:r w:rsidR="002E76F7">
        <w:rPr>
          <w:rFonts w:ascii="Times New Roman" w:hAnsi="Times New Roman" w:cs="Times New Roman"/>
          <w:sz w:val="24"/>
        </w:rPr>
        <w:t xml:space="preserve"> and the proposed WVF</w:t>
      </w:r>
      <w:r w:rsidR="00B41188">
        <w:rPr>
          <w:rFonts w:ascii="Times New Roman" w:hAnsi="Times New Roman" w:cs="Times New Roman"/>
          <w:sz w:val="24"/>
        </w:rPr>
        <w:t>, adult holding targets are met in most years and exceedances are small when they occur (Figure 3, Table 1)</w:t>
      </w:r>
      <w:r w:rsidR="00027441">
        <w:rPr>
          <w:rFonts w:ascii="Times New Roman" w:hAnsi="Times New Roman" w:cs="Times New Roman"/>
          <w:sz w:val="24"/>
        </w:rPr>
        <w:t xml:space="preserve">. </w:t>
      </w:r>
      <w:r w:rsidR="002B33D5">
        <w:rPr>
          <w:rFonts w:ascii="Times New Roman" w:hAnsi="Times New Roman" w:cs="Times New Roman"/>
          <w:sz w:val="24"/>
        </w:rPr>
        <w:t xml:space="preserve">Larger exceedances </w:t>
      </w:r>
      <w:r w:rsidR="00FD38CE">
        <w:rPr>
          <w:rFonts w:ascii="Times New Roman" w:hAnsi="Times New Roman" w:cs="Times New Roman"/>
          <w:sz w:val="24"/>
        </w:rPr>
        <w:t>of the July 1</w:t>
      </w:r>
      <w:r w:rsidR="007746DE" w:rsidRPr="00A61EEF">
        <w:rPr>
          <w:rFonts w:ascii="Times New Roman" w:hAnsi="Times New Roman" w:cs="Times New Roman"/>
          <w:sz w:val="24"/>
          <w:vertAlign w:val="superscript"/>
        </w:rPr>
        <w:t>st</w:t>
      </w:r>
      <w:r w:rsidR="007746DE">
        <w:rPr>
          <w:rFonts w:ascii="Times New Roman" w:hAnsi="Times New Roman" w:cs="Times New Roman"/>
          <w:sz w:val="24"/>
        </w:rPr>
        <w:t xml:space="preserve"> </w:t>
      </w:r>
      <w:r w:rsidR="00FD38CE">
        <w:rPr>
          <w:rFonts w:ascii="Times New Roman" w:hAnsi="Times New Roman" w:cs="Times New Roman"/>
          <w:sz w:val="24"/>
        </w:rPr>
        <w:t>to September 14</w:t>
      </w:r>
      <w:r w:rsidR="007746DE" w:rsidRPr="00A61EEF">
        <w:rPr>
          <w:rFonts w:ascii="Times New Roman" w:hAnsi="Times New Roman" w:cs="Times New Roman"/>
          <w:sz w:val="24"/>
          <w:vertAlign w:val="superscript"/>
        </w:rPr>
        <w:t>th</w:t>
      </w:r>
      <w:r w:rsidR="007746DE">
        <w:rPr>
          <w:rFonts w:ascii="Times New Roman" w:hAnsi="Times New Roman" w:cs="Times New Roman"/>
          <w:sz w:val="24"/>
        </w:rPr>
        <w:t xml:space="preserve"> </w:t>
      </w:r>
      <w:r w:rsidR="00FD38CE">
        <w:rPr>
          <w:rFonts w:ascii="Times New Roman" w:hAnsi="Times New Roman" w:cs="Times New Roman"/>
          <w:sz w:val="24"/>
        </w:rPr>
        <w:t>15.6° C target at Douglas City were estimated to have occurred under the WVF scenario</w:t>
      </w:r>
      <w:r w:rsidR="006A4524">
        <w:rPr>
          <w:rFonts w:ascii="Times New Roman" w:hAnsi="Times New Roman" w:cs="Times New Roman"/>
          <w:sz w:val="24"/>
        </w:rPr>
        <w:t xml:space="preserve"> in a few years but were of a similar magnitude to observed exceedances under current ROD flow management. The largest differences occurred in 2005 and 2010</w:t>
      </w:r>
      <w:r w:rsidR="003A461F">
        <w:rPr>
          <w:rFonts w:ascii="Times New Roman" w:hAnsi="Times New Roman" w:cs="Times New Roman"/>
          <w:sz w:val="24"/>
        </w:rPr>
        <w:t>, when degree day exceedances for WVF were 6.5</w:t>
      </w:r>
      <w:r w:rsidR="00F70ACC">
        <w:rPr>
          <w:rFonts w:ascii="Times New Roman" w:hAnsi="Times New Roman" w:cs="Times New Roman"/>
          <w:sz w:val="24"/>
        </w:rPr>
        <w:t xml:space="preserve"> degree days in both years at Douglas City. In 2005, the largest 1-day exceedance was </w:t>
      </w:r>
      <w:r w:rsidR="00F40F9E">
        <w:rPr>
          <w:rFonts w:ascii="Times New Roman" w:hAnsi="Times New Roman" w:cs="Times New Roman"/>
          <w:sz w:val="24"/>
        </w:rPr>
        <w:t>1.2</w:t>
      </w:r>
      <w:r w:rsidR="00F70ACC">
        <w:rPr>
          <w:rFonts w:ascii="Times New Roman" w:hAnsi="Times New Roman" w:cs="Times New Roman"/>
          <w:sz w:val="24"/>
        </w:rPr>
        <w:t>° C</w:t>
      </w:r>
      <w:r w:rsidR="00F40F9E">
        <w:rPr>
          <w:rFonts w:ascii="Times New Roman" w:hAnsi="Times New Roman" w:cs="Times New Roman"/>
          <w:sz w:val="24"/>
        </w:rPr>
        <w:t xml:space="preserve"> (modeled temperature of 18.8</w:t>
      </w:r>
      <w:r w:rsidR="00972AE1">
        <w:rPr>
          <w:rFonts w:ascii="Times New Roman" w:hAnsi="Times New Roman" w:cs="Times New Roman"/>
          <w:sz w:val="24"/>
        </w:rPr>
        <w:t xml:space="preserve">° C) and exceedances were more than 1° C </w:t>
      </w:r>
      <w:r w:rsidR="004507E9">
        <w:rPr>
          <w:rFonts w:ascii="Times New Roman" w:hAnsi="Times New Roman" w:cs="Times New Roman"/>
          <w:sz w:val="24"/>
        </w:rPr>
        <w:t>for only five days. In 2010, the largest 1-day exceedance was 0.6° C</w:t>
      </w:r>
      <w:r w:rsidR="00622CBB">
        <w:rPr>
          <w:rFonts w:ascii="Times New Roman" w:hAnsi="Times New Roman" w:cs="Times New Roman"/>
          <w:sz w:val="24"/>
        </w:rPr>
        <w:t>. Temperatures in this range do not pose a threat to holding spring Chinook Salmon and only occur for a short time, thus the recommended WVF</w:t>
      </w:r>
      <w:r w:rsidR="0017446A">
        <w:rPr>
          <w:rFonts w:ascii="Times New Roman" w:hAnsi="Times New Roman" w:cs="Times New Roman"/>
          <w:sz w:val="24"/>
        </w:rPr>
        <w:t xml:space="preserve"> scenario is not expected to have a significant </w:t>
      </w:r>
      <w:r w:rsidR="0017446A">
        <w:rPr>
          <w:rFonts w:ascii="Times New Roman" w:hAnsi="Times New Roman" w:cs="Times New Roman"/>
          <w:sz w:val="24"/>
        </w:rPr>
        <w:lastRenderedPageBreak/>
        <w:t>impact on adult salmonids. Observed and estimated exceedances for the two later targets are identical between</w:t>
      </w:r>
      <w:r w:rsidR="00322F46">
        <w:rPr>
          <w:rFonts w:ascii="Times New Roman" w:hAnsi="Times New Roman" w:cs="Times New Roman"/>
          <w:sz w:val="24"/>
        </w:rPr>
        <w:t xml:space="preserve"> WVF and ROD because flows are always returned to summer baseflow prior to September 15, so temperatures are the same between the two scenarios.</w:t>
      </w:r>
    </w:p>
    <w:p w14:paraId="7963F8E0" w14:textId="7D4834C0" w:rsidR="00552937" w:rsidRDefault="00552937" w:rsidP="008E5953">
      <w:pPr>
        <w:spacing w:after="0"/>
        <w:rPr>
          <w:rFonts w:ascii="Times New Roman" w:hAnsi="Times New Roman" w:cs="Times New Roman"/>
          <w:sz w:val="24"/>
        </w:rPr>
      </w:pPr>
    </w:p>
    <w:p w14:paraId="476069C9" w14:textId="0585A40F" w:rsidR="007E5862" w:rsidRDefault="007E5862" w:rsidP="007E5862">
      <w:pPr>
        <w:spacing w:after="0"/>
        <w:jc w:val="center"/>
        <w:rPr>
          <w:rFonts w:ascii="Times New Roman" w:hAnsi="Times New Roman" w:cs="Times New Roman"/>
          <w:sz w:val="24"/>
        </w:rPr>
      </w:pPr>
      <w:r>
        <w:rPr>
          <w:rFonts w:ascii="Times New Roman" w:hAnsi="Times New Roman" w:cs="Times New Roman"/>
          <w:noProof/>
          <w:sz w:val="24"/>
        </w:rPr>
        <w:drawing>
          <wp:inline distT="0" distB="0" distL="0" distR="0" wp14:anchorId="21B8929D" wp14:editId="60EBF88A">
            <wp:extent cx="5486400" cy="4114800"/>
            <wp:effectExtent l="0" t="0" r="0" b="0"/>
            <wp:docPr id="1083357047"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357047" name="Picture 1" descr="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p>
    <w:p w14:paraId="0D64C0D6" w14:textId="57AA9D46" w:rsidR="00030B19" w:rsidRDefault="00213F95" w:rsidP="008E5953">
      <w:pPr>
        <w:spacing w:after="0"/>
        <w:rPr>
          <w:rFonts w:ascii="Times New Roman" w:hAnsi="Times New Roman" w:cs="Times New Roman"/>
          <w:sz w:val="24"/>
        </w:rPr>
      </w:pPr>
      <w:r>
        <w:rPr>
          <w:rFonts w:ascii="Times New Roman" w:hAnsi="Times New Roman" w:cs="Times New Roman"/>
          <w:sz w:val="24"/>
        </w:rPr>
        <w:t>Figure 3</w:t>
      </w:r>
      <w:r w:rsidR="00764139">
        <w:rPr>
          <w:rFonts w:ascii="Times New Roman" w:hAnsi="Times New Roman" w:cs="Times New Roman"/>
          <w:sz w:val="24"/>
        </w:rPr>
        <w:t>.</w:t>
      </w:r>
      <w:r>
        <w:rPr>
          <w:rFonts w:ascii="Times New Roman" w:hAnsi="Times New Roman" w:cs="Times New Roman"/>
          <w:sz w:val="24"/>
        </w:rPr>
        <w:t xml:space="preserve"> </w:t>
      </w:r>
      <w:r w:rsidR="0022787C">
        <w:rPr>
          <w:rFonts w:ascii="Times New Roman" w:hAnsi="Times New Roman" w:cs="Times New Roman"/>
          <w:sz w:val="24"/>
        </w:rPr>
        <w:t>Timeseries of degree day exceed</w:t>
      </w:r>
      <w:r w:rsidR="00C3053D">
        <w:rPr>
          <w:rFonts w:ascii="Times New Roman" w:hAnsi="Times New Roman" w:cs="Times New Roman"/>
          <w:sz w:val="24"/>
        </w:rPr>
        <w:t xml:space="preserve">ances of adult spring Chinook Salmon holding temperature targets for the Trinity River at Douglas City (DC) and the North Fork Trinity River (NF) for </w:t>
      </w:r>
      <w:r w:rsidR="00E85B8F">
        <w:rPr>
          <w:rFonts w:ascii="Times New Roman" w:hAnsi="Times New Roman" w:cs="Times New Roman"/>
          <w:sz w:val="24"/>
        </w:rPr>
        <w:t>revised winter variable flow (WVF) recommendation</w:t>
      </w:r>
      <w:r w:rsidR="006D6077">
        <w:rPr>
          <w:rFonts w:ascii="Times New Roman" w:hAnsi="Times New Roman" w:cs="Times New Roman"/>
          <w:sz w:val="24"/>
        </w:rPr>
        <w:t xml:space="preserve"> and ROD flows.</w:t>
      </w:r>
    </w:p>
    <w:p w14:paraId="2377E5CD" w14:textId="77777777" w:rsidR="007B0792" w:rsidRDefault="007B0792" w:rsidP="007B0792">
      <w:pPr>
        <w:spacing w:after="0"/>
        <w:rPr>
          <w:rFonts w:ascii="Times New Roman" w:hAnsi="Times New Roman" w:cs="Times New Roman"/>
          <w:sz w:val="24"/>
        </w:rPr>
      </w:pPr>
    </w:p>
    <w:p w14:paraId="5FEEC9CB" w14:textId="6CE4E025" w:rsidR="007B0792" w:rsidRDefault="007B0792" w:rsidP="007B0792">
      <w:pPr>
        <w:spacing w:after="0"/>
        <w:rPr>
          <w:rFonts w:ascii="Times New Roman" w:hAnsi="Times New Roman" w:cs="Times New Roman"/>
          <w:sz w:val="24"/>
        </w:rPr>
      </w:pPr>
      <w:r>
        <w:rPr>
          <w:rFonts w:ascii="Times New Roman" w:hAnsi="Times New Roman" w:cs="Times New Roman"/>
          <w:sz w:val="24"/>
        </w:rPr>
        <w:t>Table 1. Annual degree day exceedances of adult spring Chinook holding and deviations of juvenile rearing targets based on RBM10 temperature modelling of the mainstem Trinity River for the revised winter variable flow (WVF) recommendation and ROD flows.</w:t>
      </w:r>
    </w:p>
    <w:p w14:paraId="66C06B7A" w14:textId="77777777" w:rsidR="007B0792" w:rsidRDefault="007B0792" w:rsidP="007B0792">
      <w:pPr>
        <w:spacing w:after="0"/>
        <w:rPr>
          <w:rFonts w:ascii="Times New Roman" w:hAnsi="Times New Roman" w:cs="Times New Roman"/>
          <w:sz w:val="24"/>
        </w:rPr>
      </w:pPr>
      <w:r w:rsidRPr="00351B9E">
        <w:rPr>
          <w:noProof/>
        </w:rPr>
        <w:drawing>
          <wp:inline distT="0" distB="0" distL="0" distR="0" wp14:anchorId="288970A6" wp14:editId="3BB3698B">
            <wp:extent cx="5943600" cy="1557655"/>
            <wp:effectExtent l="0" t="0" r="0" b="4445"/>
            <wp:docPr id="10883270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557655"/>
                    </a:xfrm>
                    <a:prstGeom prst="rect">
                      <a:avLst/>
                    </a:prstGeom>
                    <a:noFill/>
                    <a:ln>
                      <a:noFill/>
                    </a:ln>
                  </pic:spPr>
                </pic:pic>
              </a:graphicData>
            </a:graphic>
          </wp:inline>
        </w:drawing>
      </w:r>
    </w:p>
    <w:p w14:paraId="7EE81563" w14:textId="77777777" w:rsidR="007B0792" w:rsidRDefault="007B0792" w:rsidP="007B0792">
      <w:pPr>
        <w:spacing w:after="0"/>
        <w:rPr>
          <w:rFonts w:ascii="Times New Roman" w:hAnsi="Times New Roman" w:cs="Times New Roman"/>
          <w:sz w:val="24"/>
        </w:rPr>
      </w:pPr>
    </w:p>
    <w:p w14:paraId="42CBD238" w14:textId="77777777" w:rsidR="007B0792" w:rsidRDefault="00B41922" w:rsidP="008E5953">
      <w:pPr>
        <w:spacing w:after="0"/>
        <w:rPr>
          <w:rFonts w:ascii="Times New Roman" w:hAnsi="Times New Roman" w:cs="Times New Roman"/>
          <w:sz w:val="24"/>
        </w:rPr>
      </w:pPr>
      <w:r>
        <w:rPr>
          <w:rFonts w:ascii="Times New Roman" w:hAnsi="Times New Roman" w:cs="Times New Roman"/>
          <w:sz w:val="24"/>
        </w:rPr>
        <w:lastRenderedPageBreak/>
        <w:t>Moving water volume out of the spring releases is expected to result in warmer temperatures earlier in the year, which is an intentional outcome of the WVF recommendation to reduce temperatures suppression of growth. Negative deviations are less under the WVF scenario, meaning the river is warmer and spends less time in the suboptimal cold temperature range (Figure 4, Table 1). Positive deviations are greater under the WVF scenario (Figure 4, Table 1), which is an expected result of returning to summer baseflow earlier. Closer examination of daily modeled temperatures (available upon request) indicates that exceedances are almost entirely attributed to temperatures in July and rarely exceed 20° C. Nearly all juvenile Chinook Salmon have emigrated out of the restoration reach by July and maximum temperatures that would have the most detrimental effect on juvenile salmonids that are present year-round occur later in the year when there is no difference between the WVF scenario and ROD flows. Consequently, the increased positive deviations from the juvenile rearing temperature target from implementing the WVF scenario are not expected to have a substantive negative impact on rearing juvenile salmonids as compared to ROD flow management.</w:t>
      </w:r>
    </w:p>
    <w:p w14:paraId="3167D7E3" w14:textId="77777777" w:rsidR="007B0792" w:rsidRDefault="007B0792" w:rsidP="008E5953">
      <w:pPr>
        <w:spacing w:after="0"/>
        <w:rPr>
          <w:rFonts w:ascii="Times New Roman" w:hAnsi="Times New Roman" w:cs="Times New Roman"/>
          <w:sz w:val="24"/>
        </w:rPr>
      </w:pPr>
    </w:p>
    <w:p w14:paraId="1ACB562C" w14:textId="4B0CBD6D" w:rsidR="00552937" w:rsidRDefault="00276333" w:rsidP="008E5953">
      <w:pPr>
        <w:spacing w:after="0"/>
        <w:rPr>
          <w:rFonts w:ascii="Times New Roman" w:hAnsi="Times New Roman" w:cs="Times New Roman"/>
          <w:sz w:val="24"/>
        </w:rPr>
      </w:pPr>
      <w:r>
        <w:rPr>
          <w:rFonts w:ascii="Times New Roman" w:hAnsi="Times New Roman" w:cs="Times New Roman"/>
          <w:noProof/>
          <w:sz w:val="24"/>
        </w:rPr>
        <w:drawing>
          <wp:inline distT="0" distB="0" distL="0" distR="0" wp14:anchorId="15D1B380" wp14:editId="11FAA4AE">
            <wp:extent cx="5486400" cy="4118610"/>
            <wp:effectExtent l="0" t="0" r="0" b="0"/>
            <wp:docPr id="1563205870" name="Picture 2" descr="A picture containing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205870" name="Picture 2" descr="A picture containing scatter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86400" cy="4118610"/>
                    </a:xfrm>
                    <a:prstGeom prst="rect">
                      <a:avLst/>
                    </a:prstGeom>
                    <a:noFill/>
                    <a:ln>
                      <a:noFill/>
                    </a:ln>
                  </pic:spPr>
                </pic:pic>
              </a:graphicData>
            </a:graphic>
          </wp:inline>
        </w:drawing>
      </w:r>
    </w:p>
    <w:p w14:paraId="039B32B1" w14:textId="1B8BD328" w:rsidR="006D6077" w:rsidRDefault="00CA6D9D" w:rsidP="008E5953">
      <w:pPr>
        <w:spacing w:after="0"/>
        <w:rPr>
          <w:rFonts w:ascii="Times New Roman" w:hAnsi="Times New Roman" w:cs="Times New Roman"/>
          <w:sz w:val="24"/>
        </w:rPr>
      </w:pPr>
      <w:r>
        <w:rPr>
          <w:rFonts w:ascii="Times New Roman" w:hAnsi="Times New Roman" w:cs="Times New Roman"/>
          <w:sz w:val="24"/>
        </w:rPr>
        <w:t xml:space="preserve">Figure 4: Timeseries of degree day deviations of juvenile </w:t>
      </w:r>
      <w:r w:rsidR="00881C37">
        <w:rPr>
          <w:rFonts w:ascii="Times New Roman" w:hAnsi="Times New Roman" w:cs="Times New Roman"/>
          <w:sz w:val="24"/>
        </w:rPr>
        <w:t>rearing temperature targets for the Trinity River at the North Fork Trinity River</w:t>
      </w:r>
      <w:r w:rsidR="00A914AA">
        <w:rPr>
          <w:rFonts w:ascii="Times New Roman" w:hAnsi="Times New Roman" w:cs="Times New Roman"/>
          <w:sz w:val="24"/>
        </w:rPr>
        <w:t xml:space="preserve">, </w:t>
      </w:r>
      <w:r w:rsidR="000B5215">
        <w:rPr>
          <w:rFonts w:ascii="Times New Roman" w:hAnsi="Times New Roman" w:cs="Times New Roman"/>
          <w:sz w:val="24"/>
        </w:rPr>
        <w:t>April 1</w:t>
      </w:r>
      <w:r w:rsidR="007746DE" w:rsidRPr="003725F1">
        <w:rPr>
          <w:rFonts w:ascii="Times New Roman" w:hAnsi="Times New Roman" w:cs="Times New Roman"/>
          <w:sz w:val="24"/>
          <w:vertAlign w:val="superscript"/>
        </w:rPr>
        <w:t>st</w:t>
      </w:r>
      <w:r w:rsidR="007746DE">
        <w:rPr>
          <w:rFonts w:ascii="Times New Roman" w:hAnsi="Times New Roman" w:cs="Times New Roman"/>
          <w:sz w:val="24"/>
        </w:rPr>
        <w:t xml:space="preserve"> </w:t>
      </w:r>
      <w:r w:rsidR="000B5215">
        <w:rPr>
          <w:rFonts w:ascii="Times New Roman" w:hAnsi="Times New Roman" w:cs="Times New Roman"/>
          <w:sz w:val="24"/>
        </w:rPr>
        <w:t>to July 31</w:t>
      </w:r>
      <w:r w:rsidR="007746DE" w:rsidRPr="002D0018">
        <w:rPr>
          <w:rFonts w:ascii="Times New Roman" w:hAnsi="Times New Roman" w:cs="Times New Roman"/>
          <w:sz w:val="24"/>
          <w:vertAlign w:val="superscript"/>
        </w:rPr>
        <w:t>st</w:t>
      </w:r>
      <w:r w:rsidR="000B5215">
        <w:rPr>
          <w:rFonts w:ascii="Times New Roman" w:hAnsi="Times New Roman" w:cs="Times New Roman"/>
          <w:sz w:val="24"/>
        </w:rPr>
        <w:t>,</w:t>
      </w:r>
      <w:r w:rsidR="00881C37">
        <w:rPr>
          <w:rFonts w:ascii="Times New Roman" w:hAnsi="Times New Roman" w:cs="Times New Roman"/>
          <w:sz w:val="24"/>
        </w:rPr>
        <w:t xml:space="preserve"> for </w:t>
      </w:r>
      <w:r w:rsidR="00764139">
        <w:rPr>
          <w:rFonts w:ascii="Times New Roman" w:hAnsi="Times New Roman" w:cs="Times New Roman"/>
          <w:sz w:val="24"/>
        </w:rPr>
        <w:t>revised winter variable flow (WVF) recommendation and ROD flows.</w:t>
      </w:r>
      <w:r w:rsidR="00605676">
        <w:rPr>
          <w:rFonts w:ascii="Times New Roman" w:hAnsi="Times New Roman" w:cs="Times New Roman"/>
          <w:sz w:val="24"/>
        </w:rPr>
        <w:t xml:space="preserve"> </w:t>
      </w:r>
      <w:r w:rsidR="00DD3617">
        <w:rPr>
          <w:rFonts w:ascii="Times New Roman" w:hAnsi="Times New Roman" w:cs="Times New Roman"/>
          <w:sz w:val="24"/>
        </w:rPr>
        <w:t xml:space="preserve">The upper panel shows cumulative </w:t>
      </w:r>
      <w:r w:rsidR="007019ED">
        <w:rPr>
          <w:rFonts w:ascii="Times New Roman" w:hAnsi="Times New Roman" w:cs="Times New Roman"/>
          <w:sz w:val="24"/>
        </w:rPr>
        <w:t>exceedances</w:t>
      </w:r>
      <w:r w:rsidR="00DD3617">
        <w:rPr>
          <w:rFonts w:ascii="Times New Roman" w:hAnsi="Times New Roman" w:cs="Times New Roman"/>
          <w:sz w:val="24"/>
        </w:rPr>
        <w:t xml:space="preserve"> above the upper </w:t>
      </w:r>
      <w:r w:rsidR="007019ED">
        <w:rPr>
          <w:rFonts w:ascii="Times New Roman" w:hAnsi="Times New Roman" w:cs="Times New Roman"/>
          <w:sz w:val="24"/>
        </w:rPr>
        <w:t>target of 16.5° C, and the lower panel shows cumulative deviations below the lower target of 13.0° C.</w:t>
      </w:r>
    </w:p>
    <w:p w14:paraId="43637EAF" w14:textId="77777777" w:rsidR="00030B19" w:rsidRDefault="00030B19" w:rsidP="008E5953">
      <w:pPr>
        <w:spacing w:after="0"/>
        <w:rPr>
          <w:rFonts w:ascii="Times New Roman" w:hAnsi="Times New Roman" w:cs="Times New Roman"/>
          <w:sz w:val="24"/>
        </w:rPr>
      </w:pPr>
    </w:p>
    <w:p w14:paraId="7E75B070" w14:textId="1D128F06" w:rsidR="00007D49" w:rsidRDefault="0006071C" w:rsidP="008E5953">
      <w:pPr>
        <w:spacing w:after="0"/>
        <w:rPr>
          <w:rFonts w:ascii="Times New Roman" w:hAnsi="Times New Roman" w:cs="Times New Roman"/>
          <w:sz w:val="24"/>
        </w:rPr>
      </w:pPr>
      <w:r>
        <w:rPr>
          <w:rFonts w:ascii="Times New Roman" w:hAnsi="Times New Roman" w:cs="Times New Roman"/>
          <w:sz w:val="24"/>
          <w:u w:val="single"/>
        </w:rPr>
        <w:lastRenderedPageBreak/>
        <w:t>Salmonid growth, biomass and abundance</w:t>
      </w:r>
    </w:p>
    <w:p w14:paraId="7404A8D9" w14:textId="598E7EEB" w:rsidR="00293FEA" w:rsidRPr="00293FEA" w:rsidRDefault="00293FEA" w:rsidP="00293FEA">
      <w:pPr>
        <w:spacing w:after="0"/>
        <w:rPr>
          <w:rFonts w:ascii="Times New Roman" w:hAnsi="Times New Roman" w:cs="Times New Roman"/>
          <w:iCs/>
          <w:sz w:val="24"/>
        </w:rPr>
      </w:pPr>
      <w:r w:rsidRPr="00293FEA">
        <w:rPr>
          <w:rFonts w:ascii="Times New Roman" w:hAnsi="Times New Roman" w:cs="Times New Roman"/>
          <w:iCs/>
          <w:sz w:val="24"/>
        </w:rPr>
        <w:t xml:space="preserve">Abel et al. (2022) evaluated the difference in biomass and abundance of juvenile Chinook Salmon using the Stream Salmonid Simulator (S3), which requires water temperature and streamflow as physical inputs. </w:t>
      </w:r>
      <w:r w:rsidR="003865AC">
        <w:rPr>
          <w:rFonts w:ascii="Times New Roman" w:hAnsi="Times New Roman" w:cs="Times New Roman"/>
          <w:iCs/>
          <w:sz w:val="24"/>
        </w:rPr>
        <w:t xml:space="preserve">The model outputs the number of </w:t>
      </w:r>
      <w:r w:rsidR="00C47C55">
        <w:rPr>
          <w:rFonts w:ascii="Times New Roman" w:hAnsi="Times New Roman" w:cs="Times New Roman"/>
          <w:iCs/>
          <w:sz w:val="24"/>
        </w:rPr>
        <w:t>fry (</w:t>
      </w:r>
      <w:r w:rsidR="00540B1C">
        <w:rPr>
          <w:rFonts w:ascii="Times New Roman" w:hAnsi="Times New Roman" w:cs="Times New Roman"/>
          <w:iCs/>
          <w:sz w:val="24"/>
        </w:rPr>
        <w:t>≤50</w:t>
      </w:r>
      <w:r w:rsidR="001F7C89">
        <w:rPr>
          <w:rFonts w:ascii="Times New Roman" w:hAnsi="Times New Roman" w:cs="Times New Roman"/>
          <w:iCs/>
          <w:sz w:val="24"/>
        </w:rPr>
        <w:t xml:space="preserve"> mm fork length</w:t>
      </w:r>
      <w:r w:rsidR="00C47C55">
        <w:rPr>
          <w:rFonts w:ascii="Times New Roman" w:hAnsi="Times New Roman" w:cs="Times New Roman"/>
          <w:iCs/>
          <w:sz w:val="24"/>
        </w:rPr>
        <w:t>), parr (</w:t>
      </w:r>
      <w:r w:rsidR="001F7C89">
        <w:rPr>
          <w:rFonts w:ascii="Times New Roman" w:hAnsi="Times New Roman" w:cs="Times New Roman"/>
          <w:iCs/>
          <w:sz w:val="24"/>
        </w:rPr>
        <w:t>50</w:t>
      </w:r>
      <w:r w:rsidR="00036F90">
        <w:rPr>
          <w:rFonts w:ascii="Times New Roman" w:hAnsi="Times New Roman" w:cs="Times New Roman"/>
          <w:iCs/>
          <w:sz w:val="24"/>
        </w:rPr>
        <w:t xml:space="preserve"> </w:t>
      </w:r>
      <w:r w:rsidR="001F7C89">
        <w:rPr>
          <w:rFonts w:ascii="Times New Roman" w:hAnsi="Times New Roman" w:cs="Times New Roman"/>
          <w:iCs/>
          <w:sz w:val="24"/>
        </w:rPr>
        <w:t>&lt;</w:t>
      </w:r>
      <w:r w:rsidR="00036F90">
        <w:rPr>
          <w:rFonts w:ascii="Times New Roman" w:hAnsi="Times New Roman" w:cs="Times New Roman"/>
          <w:iCs/>
          <w:sz w:val="24"/>
        </w:rPr>
        <w:t xml:space="preserve"> </w:t>
      </w:r>
      <w:r w:rsidR="001F7C89">
        <w:rPr>
          <w:rFonts w:ascii="Times New Roman" w:hAnsi="Times New Roman" w:cs="Times New Roman"/>
          <w:iCs/>
          <w:sz w:val="24"/>
        </w:rPr>
        <w:t>fork length</w:t>
      </w:r>
      <w:r w:rsidR="00036F90">
        <w:rPr>
          <w:rFonts w:ascii="Times New Roman" w:hAnsi="Times New Roman" w:cs="Times New Roman"/>
          <w:iCs/>
          <w:sz w:val="24"/>
        </w:rPr>
        <w:t xml:space="preserve"> ≤ 90 mm</w:t>
      </w:r>
      <w:r w:rsidR="00C47C55">
        <w:rPr>
          <w:rFonts w:ascii="Times New Roman" w:hAnsi="Times New Roman" w:cs="Times New Roman"/>
          <w:iCs/>
          <w:sz w:val="24"/>
        </w:rPr>
        <w:t>) and smolts (</w:t>
      </w:r>
      <w:r w:rsidR="00FD4B71">
        <w:rPr>
          <w:rFonts w:ascii="Times New Roman" w:hAnsi="Times New Roman" w:cs="Times New Roman"/>
          <w:iCs/>
          <w:sz w:val="24"/>
        </w:rPr>
        <w:t>fork length &gt; 90 mm</w:t>
      </w:r>
      <w:r w:rsidR="00C47C55">
        <w:rPr>
          <w:rFonts w:ascii="Times New Roman" w:hAnsi="Times New Roman" w:cs="Times New Roman"/>
          <w:iCs/>
          <w:sz w:val="24"/>
        </w:rPr>
        <w:t xml:space="preserve">) emigrating downstream of </w:t>
      </w:r>
      <w:r w:rsidR="00367C03">
        <w:rPr>
          <w:rFonts w:ascii="Times New Roman" w:hAnsi="Times New Roman" w:cs="Times New Roman"/>
          <w:iCs/>
          <w:sz w:val="24"/>
        </w:rPr>
        <w:t xml:space="preserve">Pear Tree and Weitchpec. </w:t>
      </w:r>
      <w:r w:rsidRPr="00293FEA">
        <w:rPr>
          <w:rFonts w:ascii="Times New Roman" w:hAnsi="Times New Roman" w:cs="Times New Roman"/>
          <w:iCs/>
          <w:sz w:val="24"/>
        </w:rPr>
        <w:t xml:space="preserve">Smolt abundance results are included in the total abundance and biomass for </w:t>
      </w:r>
      <w:r w:rsidRPr="00293FEA">
        <w:rPr>
          <w:rFonts w:ascii="Times New Roman" w:hAnsi="Times New Roman" w:cs="Times New Roman"/>
          <w:iCs/>
          <w:sz w:val="24"/>
        </w:rPr>
        <w:fldChar w:fldCharType="begin"/>
      </w:r>
      <w:r w:rsidRPr="00293FEA">
        <w:rPr>
          <w:rFonts w:ascii="Times New Roman" w:hAnsi="Times New Roman" w:cs="Times New Roman"/>
          <w:iCs/>
          <w:sz w:val="24"/>
        </w:rPr>
        <w:instrText xml:space="preserve"> REF _Ref155768485 \h </w:instrText>
      </w:r>
      <w:r w:rsidRPr="00293FEA">
        <w:rPr>
          <w:rFonts w:ascii="Times New Roman" w:hAnsi="Times New Roman" w:cs="Times New Roman"/>
          <w:iCs/>
          <w:sz w:val="24"/>
        </w:rPr>
      </w:r>
      <w:r w:rsidRPr="00293FEA">
        <w:rPr>
          <w:rFonts w:ascii="Times New Roman" w:hAnsi="Times New Roman" w:cs="Times New Roman"/>
          <w:iCs/>
          <w:sz w:val="24"/>
        </w:rPr>
        <w:fldChar w:fldCharType="separate"/>
      </w:r>
      <w:r w:rsidRPr="00293FEA">
        <w:rPr>
          <w:rFonts w:ascii="Times New Roman" w:hAnsi="Times New Roman" w:cs="Times New Roman"/>
          <w:iCs/>
          <w:sz w:val="24"/>
        </w:rPr>
        <w:t>Table</w:t>
      </w:r>
      <w:r w:rsidR="006D53F1">
        <w:rPr>
          <w:rFonts w:ascii="Times New Roman" w:hAnsi="Times New Roman" w:cs="Times New Roman"/>
          <w:iCs/>
          <w:sz w:val="24"/>
        </w:rPr>
        <w:t>s</w:t>
      </w:r>
      <w:r w:rsidRPr="00293FEA">
        <w:rPr>
          <w:rFonts w:ascii="Times New Roman" w:hAnsi="Times New Roman" w:cs="Times New Roman"/>
          <w:iCs/>
          <w:sz w:val="24"/>
        </w:rPr>
        <w:t xml:space="preserve"> </w:t>
      </w:r>
      <w:r w:rsidR="006D53F1">
        <w:rPr>
          <w:rFonts w:ascii="Times New Roman" w:hAnsi="Times New Roman" w:cs="Times New Roman"/>
          <w:iCs/>
          <w:sz w:val="24"/>
        </w:rPr>
        <w:t>2 and 3</w:t>
      </w:r>
      <w:r w:rsidRPr="00293FEA">
        <w:rPr>
          <w:rFonts w:ascii="Times New Roman" w:hAnsi="Times New Roman" w:cs="Times New Roman"/>
          <w:sz w:val="24"/>
        </w:rPr>
        <w:fldChar w:fldCharType="end"/>
      </w:r>
      <w:r w:rsidR="006D53F1">
        <w:rPr>
          <w:rFonts w:ascii="Times New Roman" w:hAnsi="Times New Roman" w:cs="Times New Roman"/>
          <w:sz w:val="24"/>
        </w:rPr>
        <w:t>,</w:t>
      </w:r>
      <w:r w:rsidRPr="00293FEA">
        <w:rPr>
          <w:rFonts w:ascii="Times New Roman" w:hAnsi="Times New Roman" w:cs="Times New Roman"/>
          <w:iCs/>
          <w:sz w:val="24"/>
        </w:rPr>
        <w:t xml:space="preserve"> but not reported here because the small numbers of smolts produced in the S3 model runs result in large differences </w:t>
      </w:r>
      <w:r w:rsidR="006D53F1">
        <w:rPr>
          <w:rFonts w:ascii="Times New Roman" w:hAnsi="Times New Roman" w:cs="Times New Roman"/>
          <w:iCs/>
          <w:sz w:val="24"/>
        </w:rPr>
        <w:t xml:space="preserve">by percent </w:t>
      </w:r>
      <w:r w:rsidRPr="00293FEA">
        <w:rPr>
          <w:rFonts w:ascii="Times New Roman" w:hAnsi="Times New Roman" w:cs="Times New Roman"/>
          <w:iCs/>
          <w:sz w:val="24"/>
        </w:rPr>
        <w:t>that are not readily interpreted</w:t>
      </w:r>
      <w:r w:rsidR="00925A39">
        <w:rPr>
          <w:rFonts w:ascii="Times New Roman" w:hAnsi="Times New Roman" w:cs="Times New Roman"/>
          <w:iCs/>
          <w:sz w:val="24"/>
        </w:rPr>
        <w:t xml:space="preserve"> (e.g., a difference between 5 and 10 smolts would be a </w:t>
      </w:r>
      <w:r w:rsidR="00EA462C">
        <w:rPr>
          <w:rFonts w:ascii="Times New Roman" w:hAnsi="Times New Roman" w:cs="Times New Roman"/>
          <w:iCs/>
          <w:sz w:val="24"/>
        </w:rPr>
        <w:t>1</w:t>
      </w:r>
      <w:r w:rsidR="00925A39">
        <w:rPr>
          <w:rFonts w:ascii="Times New Roman" w:hAnsi="Times New Roman" w:cs="Times New Roman"/>
          <w:iCs/>
          <w:sz w:val="24"/>
        </w:rPr>
        <w:t>00% difference)</w:t>
      </w:r>
      <w:r w:rsidRPr="00293FEA">
        <w:rPr>
          <w:rFonts w:ascii="Times New Roman" w:hAnsi="Times New Roman" w:cs="Times New Roman"/>
          <w:iCs/>
          <w:sz w:val="24"/>
        </w:rPr>
        <w:t xml:space="preserve">. </w:t>
      </w:r>
      <w:r w:rsidR="0082453C">
        <w:rPr>
          <w:rFonts w:ascii="Times New Roman" w:hAnsi="Times New Roman" w:cs="Times New Roman"/>
          <w:iCs/>
          <w:sz w:val="24"/>
        </w:rPr>
        <w:t>D</w:t>
      </w:r>
      <w:r w:rsidRPr="00293FEA">
        <w:rPr>
          <w:rFonts w:ascii="Times New Roman" w:hAnsi="Times New Roman" w:cs="Times New Roman"/>
          <w:iCs/>
          <w:sz w:val="24"/>
        </w:rPr>
        <w:t xml:space="preserve">ifferences in smolt abundance </w:t>
      </w:r>
      <w:r w:rsidR="0082453C">
        <w:rPr>
          <w:rFonts w:ascii="Times New Roman" w:hAnsi="Times New Roman" w:cs="Times New Roman"/>
          <w:iCs/>
          <w:sz w:val="24"/>
        </w:rPr>
        <w:t>were</w:t>
      </w:r>
      <w:r w:rsidRPr="00293FEA">
        <w:rPr>
          <w:rFonts w:ascii="Times New Roman" w:hAnsi="Times New Roman" w:cs="Times New Roman"/>
          <w:iCs/>
          <w:sz w:val="24"/>
        </w:rPr>
        <w:t xml:space="preserve"> positive across years on average (the </w:t>
      </w:r>
      <w:r w:rsidR="0082453C">
        <w:rPr>
          <w:rFonts w:ascii="Times New Roman" w:hAnsi="Times New Roman" w:cs="Times New Roman"/>
          <w:iCs/>
          <w:sz w:val="24"/>
        </w:rPr>
        <w:t>revised WVF recommendation</w:t>
      </w:r>
      <w:r w:rsidRPr="00293FEA">
        <w:rPr>
          <w:rFonts w:ascii="Times New Roman" w:hAnsi="Times New Roman" w:cs="Times New Roman"/>
          <w:iCs/>
          <w:sz w:val="24"/>
        </w:rPr>
        <w:t xml:space="preserve"> would result in more smolts). Water year 2005 was not evaluated because the first water year in the S3 input files is 2006.</w:t>
      </w:r>
    </w:p>
    <w:p w14:paraId="71CE816B" w14:textId="77777777" w:rsidR="00293FEA" w:rsidRPr="00293FEA" w:rsidRDefault="00293FEA" w:rsidP="00293FEA">
      <w:pPr>
        <w:spacing w:after="0"/>
        <w:rPr>
          <w:rFonts w:ascii="Times New Roman" w:hAnsi="Times New Roman" w:cs="Times New Roman"/>
          <w:iCs/>
          <w:sz w:val="24"/>
        </w:rPr>
      </w:pPr>
    </w:p>
    <w:p w14:paraId="1A47D7FD" w14:textId="2386A5FB" w:rsidR="00293FEA" w:rsidRPr="00293FEA" w:rsidRDefault="00426696" w:rsidP="00293FEA">
      <w:pPr>
        <w:spacing w:after="0"/>
        <w:rPr>
          <w:rFonts w:ascii="Times New Roman" w:hAnsi="Times New Roman" w:cs="Times New Roman"/>
          <w:iCs/>
          <w:sz w:val="24"/>
        </w:rPr>
      </w:pPr>
      <w:r>
        <w:rPr>
          <w:rFonts w:ascii="Times New Roman" w:hAnsi="Times New Roman" w:cs="Times New Roman"/>
          <w:iCs/>
          <w:sz w:val="24"/>
        </w:rPr>
        <w:t>Overall, the revised</w:t>
      </w:r>
      <w:r w:rsidR="00C24E12">
        <w:rPr>
          <w:rFonts w:ascii="Times New Roman" w:hAnsi="Times New Roman" w:cs="Times New Roman"/>
          <w:iCs/>
          <w:sz w:val="24"/>
        </w:rPr>
        <w:t xml:space="preserve"> WVF recommendation was estimated to increase total biomass with little change to total abundance at both Pear Tree and Weitchpec</w:t>
      </w:r>
      <w:r w:rsidR="0097645F">
        <w:rPr>
          <w:rFonts w:ascii="Times New Roman" w:hAnsi="Times New Roman" w:cs="Times New Roman"/>
          <w:iCs/>
          <w:sz w:val="24"/>
        </w:rPr>
        <w:t xml:space="preserve"> (Table 2 and 3). </w:t>
      </w:r>
      <w:r w:rsidR="000C6967">
        <w:rPr>
          <w:rFonts w:ascii="Times New Roman" w:hAnsi="Times New Roman" w:cs="Times New Roman"/>
          <w:iCs/>
          <w:sz w:val="24"/>
        </w:rPr>
        <w:t>This can be</w:t>
      </w:r>
      <w:r w:rsidR="008B11AC" w:rsidRPr="00293FEA">
        <w:rPr>
          <w:rFonts w:ascii="Times New Roman" w:hAnsi="Times New Roman" w:cs="Times New Roman"/>
          <w:iCs/>
          <w:sz w:val="24"/>
        </w:rPr>
        <w:t xml:space="preserve"> interpreted such that </w:t>
      </w:r>
      <w:r w:rsidR="000C6967">
        <w:rPr>
          <w:rFonts w:ascii="Times New Roman" w:hAnsi="Times New Roman" w:cs="Times New Roman"/>
          <w:iCs/>
          <w:sz w:val="24"/>
        </w:rPr>
        <w:t>WVF</w:t>
      </w:r>
      <w:r w:rsidR="008B11AC" w:rsidRPr="00293FEA">
        <w:rPr>
          <w:rFonts w:ascii="Times New Roman" w:hAnsi="Times New Roman" w:cs="Times New Roman"/>
          <w:iCs/>
          <w:sz w:val="24"/>
        </w:rPr>
        <w:t xml:space="preserve"> results in overall larger Chinook Salmon outmigrants in the Trinity River</w:t>
      </w:r>
      <w:r w:rsidR="00260110">
        <w:rPr>
          <w:rFonts w:ascii="Times New Roman" w:hAnsi="Times New Roman" w:cs="Times New Roman"/>
          <w:iCs/>
          <w:sz w:val="24"/>
        </w:rPr>
        <w:t>, which</w:t>
      </w:r>
      <w:r w:rsidR="008B11AC" w:rsidRPr="00293FEA">
        <w:rPr>
          <w:rFonts w:ascii="Times New Roman" w:hAnsi="Times New Roman" w:cs="Times New Roman"/>
          <w:iCs/>
          <w:sz w:val="24"/>
        </w:rPr>
        <w:t xml:space="preserve"> is a desired effect </w:t>
      </w:r>
      <w:r w:rsidR="00260110">
        <w:rPr>
          <w:rFonts w:ascii="Times New Roman" w:hAnsi="Times New Roman" w:cs="Times New Roman"/>
          <w:iCs/>
          <w:sz w:val="24"/>
        </w:rPr>
        <w:t>and</w:t>
      </w:r>
      <w:r w:rsidR="008B11AC" w:rsidRPr="00293FEA">
        <w:rPr>
          <w:rFonts w:ascii="Times New Roman" w:hAnsi="Times New Roman" w:cs="Times New Roman"/>
          <w:iCs/>
          <w:sz w:val="24"/>
        </w:rPr>
        <w:t xml:space="preserve"> expected to </w:t>
      </w:r>
      <w:r w:rsidR="00260110">
        <w:rPr>
          <w:rFonts w:ascii="Times New Roman" w:hAnsi="Times New Roman" w:cs="Times New Roman"/>
          <w:iCs/>
          <w:sz w:val="24"/>
        </w:rPr>
        <w:t>result in</w:t>
      </w:r>
      <w:r w:rsidR="008B11AC" w:rsidRPr="00293FEA">
        <w:rPr>
          <w:rFonts w:ascii="Times New Roman" w:hAnsi="Times New Roman" w:cs="Times New Roman"/>
          <w:iCs/>
          <w:sz w:val="24"/>
        </w:rPr>
        <w:t xml:space="preserve"> higher survival (Pearcy 1992; Beamish and Mahnken 2001).</w:t>
      </w:r>
      <w:r w:rsidR="008B11AC">
        <w:rPr>
          <w:rFonts w:ascii="Times New Roman" w:hAnsi="Times New Roman" w:cs="Times New Roman"/>
          <w:iCs/>
          <w:sz w:val="24"/>
        </w:rPr>
        <w:t xml:space="preserve"> </w:t>
      </w:r>
      <w:r w:rsidR="009F1A0C">
        <w:rPr>
          <w:rFonts w:ascii="Times New Roman" w:hAnsi="Times New Roman" w:cs="Times New Roman"/>
          <w:iCs/>
          <w:sz w:val="24"/>
        </w:rPr>
        <w:t xml:space="preserve">Results at Pear Tree show a decrease in fry and an increase in </w:t>
      </w:r>
      <w:r w:rsidR="00203E4A">
        <w:rPr>
          <w:rFonts w:ascii="Times New Roman" w:hAnsi="Times New Roman" w:cs="Times New Roman"/>
          <w:iCs/>
          <w:sz w:val="24"/>
        </w:rPr>
        <w:t xml:space="preserve">parr, which reflects </w:t>
      </w:r>
      <w:r w:rsidR="006B1BC2">
        <w:rPr>
          <w:rFonts w:ascii="Times New Roman" w:hAnsi="Times New Roman" w:cs="Times New Roman"/>
          <w:iCs/>
          <w:sz w:val="24"/>
        </w:rPr>
        <w:t xml:space="preserve">improved growth conditions because more fish are moved into the larger size category (parr vs. fry). </w:t>
      </w:r>
      <w:r w:rsidR="007F788F">
        <w:rPr>
          <w:rFonts w:ascii="Times New Roman" w:hAnsi="Times New Roman" w:cs="Times New Roman"/>
          <w:iCs/>
          <w:sz w:val="24"/>
        </w:rPr>
        <w:t xml:space="preserve">At Weitchpec, the </w:t>
      </w:r>
      <w:r w:rsidR="0030649C">
        <w:rPr>
          <w:rFonts w:ascii="Times New Roman" w:hAnsi="Times New Roman" w:cs="Times New Roman"/>
          <w:iCs/>
          <w:sz w:val="24"/>
        </w:rPr>
        <w:t xml:space="preserve">percent </w:t>
      </w:r>
      <w:r w:rsidR="007F788F">
        <w:rPr>
          <w:rFonts w:ascii="Times New Roman" w:hAnsi="Times New Roman" w:cs="Times New Roman"/>
          <w:iCs/>
          <w:sz w:val="24"/>
        </w:rPr>
        <w:t>decrease in fry was equal to the increase in parr</w:t>
      </w:r>
      <w:r w:rsidR="009A198C">
        <w:rPr>
          <w:rFonts w:ascii="Times New Roman" w:hAnsi="Times New Roman" w:cs="Times New Roman"/>
          <w:iCs/>
          <w:sz w:val="24"/>
        </w:rPr>
        <w:t xml:space="preserve">, so the higher total biomass </w:t>
      </w:r>
      <w:r w:rsidR="0030649C">
        <w:rPr>
          <w:rFonts w:ascii="Times New Roman" w:hAnsi="Times New Roman" w:cs="Times New Roman"/>
          <w:iCs/>
          <w:sz w:val="24"/>
        </w:rPr>
        <w:t xml:space="preserve">likely </w:t>
      </w:r>
      <w:r w:rsidR="009A198C">
        <w:rPr>
          <w:rFonts w:ascii="Times New Roman" w:hAnsi="Times New Roman" w:cs="Times New Roman"/>
          <w:iCs/>
          <w:sz w:val="24"/>
        </w:rPr>
        <w:t xml:space="preserve">reflects </w:t>
      </w:r>
      <w:r w:rsidR="002B5DD8">
        <w:rPr>
          <w:rFonts w:ascii="Times New Roman" w:hAnsi="Times New Roman" w:cs="Times New Roman"/>
          <w:iCs/>
          <w:sz w:val="24"/>
        </w:rPr>
        <w:t xml:space="preserve">an </w:t>
      </w:r>
      <w:r w:rsidR="009A198C">
        <w:rPr>
          <w:rFonts w:ascii="Times New Roman" w:hAnsi="Times New Roman" w:cs="Times New Roman"/>
          <w:iCs/>
          <w:sz w:val="24"/>
        </w:rPr>
        <w:t xml:space="preserve">increase in </w:t>
      </w:r>
      <w:r w:rsidR="006030A5">
        <w:rPr>
          <w:rFonts w:ascii="Times New Roman" w:hAnsi="Times New Roman" w:cs="Times New Roman"/>
          <w:iCs/>
          <w:sz w:val="24"/>
        </w:rPr>
        <w:t>smolts.</w:t>
      </w:r>
    </w:p>
    <w:p w14:paraId="5135D0F6" w14:textId="77777777" w:rsidR="00293FEA" w:rsidRPr="00293FEA" w:rsidRDefault="00293FEA" w:rsidP="00293FEA">
      <w:pPr>
        <w:spacing w:after="0"/>
        <w:rPr>
          <w:rFonts w:ascii="Times New Roman" w:hAnsi="Times New Roman" w:cs="Times New Roman"/>
          <w:iCs/>
          <w:sz w:val="24"/>
        </w:rPr>
      </w:pPr>
      <w:bookmarkStart w:id="1" w:name="_Ref155768485"/>
    </w:p>
    <w:p w14:paraId="189E5538" w14:textId="1C49D0C1" w:rsidR="00293FEA" w:rsidRPr="00293FEA" w:rsidRDefault="00293FEA" w:rsidP="00293FEA">
      <w:pPr>
        <w:spacing w:after="0"/>
        <w:rPr>
          <w:rFonts w:ascii="Times New Roman" w:hAnsi="Times New Roman" w:cs="Times New Roman"/>
          <w:iCs/>
          <w:sz w:val="24"/>
        </w:rPr>
      </w:pPr>
      <w:r w:rsidRPr="00293FEA">
        <w:rPr>
          <w:rFonts w:ascii="Times New Roman" w:hAnsi="Times New Roman" w:cs="Times New Roman"/>
          <w:iCs/>
          <w:sz w:val="24"/>
        </w:rPr>
        <w:t xml:space="preserve">Table </w:t>
      </w:r>
      <w:bookmarkEnd w:id="1"/>
      <w:r w:rsidR="0097645F">
        <w:rPr>
          <w:rFonts w:ascii="Times New Roman" w:hAnsi="Times New Roman" w:cs="Times New Roman"/>
          <w:iCs/>
          <w:sz w:val="24"/>
        </w:rPr>
        <w:t>2</w:t>
      </w:r>
      <w:r w:rsidRPr="00293FEA">
        <w:rPr>
          <w:rFonts w:ascii="Times New Roman" w:hAnsi="Times New Roman" w:cs="Times New Roman"/>
          <w:iCs/>
          <w:sz w:val="24"/>
        </w:rPr>
        <w:t>. Difference</w:t>
      </w:r>
      <w:r w:rsidR="00F4791D">
        <w:rPr>
          <w:rFonts w:ascii="Times New Roman" w:hAnsi="Times New Roman" w:cs="Times New Roman"/>
          <w:iCs/>
          <w:sz w:val="24"/>
        </w:rPr>
        <w:t>s</w:t>
      </w:r>
      <w:r w:rsidRPr="00293FEA">
        <w:rPr>
          <w:rFonts w:ascii="Times New Roman" w:hAnsi="Times New Roman" w:cs="Times New Roman"/>
          <w:iCs/>
          <w:sz w:val="24"/>
        </w:rPr>
        <w:t xml:space="preserve"> in </w:t>
      </w:r>
      <w:r w:rsidR="004D38A4">
        <w:rPr>
          <w:rFonts w:ascii="Times New Roman" w:hAnsi="Times New Roman" w:cs="Times New Roman"/>
          <w:iCs/>
          <w:sz w:val="24"/>
        </w:rPr>
        <w:t xml:space="preserve">S3 </w:t>
      </w:r>
      <w:r w:rsidR="00EF3A23">
        <w:rPr>
          <w:rFonts w:ascii="Times New Roman" w:hAnsi="Times New Roman" w:cs="Times New Roman"/>
          <w:iCs/>
          <w:sz w:val="24"/>
        </w:rPr>
        <w:t xml:space="preserve">modelled </w:t>
      </w:r>
      <w:r w:rsidRPr="00293FEA">
        <w:rPr>
          <w:rFonts w:ascii="Times New Roman" w:hAnsi="Times New Roman" w:cs="Times New Roman"/>
          <w:iCs/>
          <w:sz w:val="24"/>
        </w:rPr>
        <w:t xml:space="preserve">abundance (%) and biomass (%) </w:t>
      </w:r>
      <w:r w:rsidR="003C4F06">
        <w:rPr>
          <w:rFonts w:ascii="Times New Roman" w:hAnsi="Times New Roman" w:cs="Times New Roman"/>
          <w:iCs/>
          <w:sz w:val="24"/>
        </w:rPr>
        <w:t xml:space="preserve">of juvenile Chinook Salmon fry and parr </w:t>
      </w:r>
      <w:r w:rsidRPr="00293FEA">
        <w:rPr>
          <w:rFonts w:ascii="Times New Roman" w:hAnsi="Times New Roman" w:cs="Times New Roman"/>
          <w:iCs/>
          <w:sz w:val="24"/>
        </w:rPr>
        <w:t xml:space="preserve">between the </w:t>
      </w:r>
      <w:r w:rsidR="00AA1562">
        <w:rPr>
          <w:rFonts w:ascii="Times New Roman" w:hAnsi="Times New Roman" w:cs="Times New Roman"/>
          <w:iCs/>
          <w:sz w:val="24"/>
        </w:rPr>
        <w:t xml:space="preserve">revised WVF </w:t>
      </w:r>
      <w:r w:rsidR="00810B0F">
        <w:rPr>
          <w:rFonts w:ascii="Times New Roman" w:hAnsi="Times New Roman" w:cs="Times New Roman"/>
          <w:iCs/>
          <w:sz w:val="24"/>
        </w:rPr>
        <w:t>recommendation</w:t>
      </w:r>
      <w:r w:rsidRPr="00293FEA">
        <w:rPr>
          <w:rFonts w:ascii="Times New Roman" w:hAnsi="Times New Roman" w:cs="Times New Roman"/>
          <w:iCs/>
          <w:sz w:val="24"/>
        </w:rPr>
        <w:t xml:space="preserve"> and </w:t>
      </w:r>
      <w:r w:rsidR="00810B0F">
        <w:rPr>
          <w:rFonts w:ascii="Times New Roman" w:hAnsi="Times New Roman" w:cs="Times New Roman"/>
          <w:iCs/>
          <w:sz w:val="24"/>
        </w:rPr>
        <w:t>ROD</w:t>
      </w:r>
      <w:r w:rsidRPr="00293FEA">
        <w:rPr>
          <w:rFonts w:ascii="Times New Roman" w:hAnsi="Times New Roman" w:cs="Times New Roman"/>
          <w:iCs/>
          <w:sz w:val="24"/>
        </w:rPr>
        <w:t xml:space="preserve"> conditions at Pear Tree upstream of the N</w:t>
      </w:r>
      <w:r w:rsidR="00810B0F">
        <w:rPr>
          <w:rFonts w:ascii="Times New Roman" w:hAnsi="Times New Roman" w:cs="Times New Roman"/>
          <w:iCs/>
          <w:sz w:val="24"/>
        </w:rPr>
        <w:t xml:space="preserve">orth </w:t>
      </w:r>
      <w:r w:rsidRPr="00293FEA">
        <w:rPr>
          <w:rFonts w:ascii="Times New Roman" w:hAnsi="Times New Roman" w:cs="Times New Roman"/>
          <w:iCs/>
          <w:sz w:val="24"/>
        </w:rPr>
        <w:t>F</w:t>
      </w:r>
      <w:r w:rsidR="00810B0F">
        <w:rPr>
          <w:rFonts w:ascii="Times New Roman" w:hAnsi="Times New Roman" w:cs="Times New Roman"/>
          <w:iCs/>
          <w:sz w:val="24"/>
        </w:rPr>
        <w:t>ork</w:t>
      </w:r>
      <w:r w:rsidRPr="00293FEA">
        <w:rPr>
          <w:rFonts w:ascii="Times New Roman" w:hAnsi="Times New Roman" w:cs="Times New Roman"/>
          <w:iCs/>
          <w:sz w:val="24"/>
        </w:rPr>
        <w:t xml:space="preserve"> Trinity River. </w:t>
      </w:r>
      <w:r w:rsidR="00C7129B">
        <w:rPr>
          <w:rFonts w:ascii="Times New Roman" w:hAnsi="Times New Roman" w:cs="Times New Roman"/>
          <w:iCs/>
          <w:sz w:val="24"/>
        </w:rPr>
        <w:t xml:space="preserve">Differences in smolt abundance and biomass are included in totals, but not shown </w:t>
      </w:r>
      <w:r w:rsidR="003B2757">
        <w:rPr>
          <w:rFonts w:ascii="Times New Roman" w:hAnsi="Times New Roman" w:cs="Times New Roman"/>
          <w:iCs/>
          <w:sz w:val="24"/>
        </w:rPr>
        <w:t>separately.</w:t>
      </w:r>
    </w:p>
    <w:tbl>
      <w:tblPr>
        <w:tblW w:w="6440" w:type="dxa"/>
        <w:jc w:val="center"/>
        <w:tblLook w:val="04A0" w:firstRow="1" w:lastRow="0" w:firstColumn="1" w:lastColumn="0" w:noHBand="0" w:noVBand="1"/>
      </w:tblPr>
      <w:tblGrid>
        <w:gridCol w:w="1120"/>
        <w:gridCol w:w="1360"/>
        <w:gridCol w:w="1360"/>
        <w:gridCol w:w="1360"/>
        <w:gridCol w:w="1240"/>
      </w:tblGrid>
      <w:tr w:rsidR="00CA65DE" w:rsidRPr="00CA65DE" w14:paraId="09EABDC2" w14:textId="77777777" w:rsidTr="00CA65DE">
        <w:trPr>
          <w:trHeight w:val="630"/>
          <w:jc w:val="center"/>
        </w:trPr>
        <w:tc>
          <w:tcPr>
            <w:tcW w:w="1120" w:type="dxa"/>
            <w:tcBorders>
              <w:top w:val="single" w:sz="4" w:space="0" w:color="auto"/>
              <w:left w:val="nil"/>
              <w:bottom w:val="single" w:sz="4" w:space="0" w:color="auto"/>
              <w:right w:val="nil"/>
            </w:tcBorders>
            <w:shd w:val="clear" w:color="auto" w:fill="auto"/>
            <w:vAlign w:val="center"/>
            <w:hideMark/>
          </w:tcPr>
          <w:p w14:paraId="292FA590"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Water Year</w:t>
            </w:r>
          </w:p>
        </w:tc>
        <w:tc>
          <w:tcPr>
            <w:tcW w:w="1360" w:type="dxa"/>
            <w:tcBorders>
              <w:top w:val="single" w:sz="4" w:space="0" w:color="auto"/>
              <w:left w:val="nil"/>
              <w:bottom w:val="single" w:sz="4" w:space="0" w:color="auto"/>
              <w:right w:val="nil"/>
            </w:tcBorders>
            <w:shd w:val="clear" w:color="auto" w:fill="auto"/>
            <w:vAlign w:val="center"/>
            <w:hideMark/>
          </w:tcPr>
          <w:p w14:paraId="23EF4B4C"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Fry Abundance</w:t>
            </w:r>
          </w:p>
        </w:tc>
        <w:tc>
          <w:tcPr>
            <w:tcW w:w="1360" w:type="dxa"/>
            <w:tcBorders>
              <w:top w:val="single" w:sz="4" w:space="0" w:color="auto"/>
              <w:left w:val="nil"/>
              <w:bottom w:val="single" w:sz="4" w:space="0" w:color="auto"/>
              <w:right w:val="nil"/>
            </w:tcBorders>
            <w:shd w:val="clear" w:color="auto" w:fill="auto"/>
            <w:vAlign w:val="center"/>
            <w:hideMark/>
          </w:tcPr>
          <w:p w14:paraId="2E286F1D"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Parr Abundance</w:t>
            </w:r>
          </w:p>
        </w:tc>
        <w:tc>
          <w:tcPr>
            <w:tcW w:w="1360" w:type="dxa"/>
            <w:tcBorders>
              <w:top w:val="single" w:sz="4" w:space="0" w:color="auto"/>
              <w:left w:val="nil"/>
              <w:bottom w:val="single" w:sz="4" w:space="0" w:color="auto"/>
              <w:right w:val="nil"/>
            </w:tcBorders>
            <w:shd w:val="clear" w:color="auto" w:fill="auto"/>
            <w:vAlign w:val="center"/>
            <w:hideMark/>
          </w:tcPr>
          <w:p w14:paraId="603B7078"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Total</w:t>
            </w:r>
            <w:r w:rsidRPr="00CA65DE">
              <w:rPr>
                <w:rFonts w:ascii="Calibri" w:eastAsia="Times New Roman" w:hAnsi="Calibri" w:cs="Calibri"/>
                <w:color w:val="000000"/>
                <w:vertAlign w:val="superscript"/>
              </w:rPr>
              <w:t xml:space="preserve"> </w:t>
            </w:r>
            <w:r w:rsidRPr="00CA65DE">
              <w:rPr>
                <w:rFonts w:ascii="Calibri" w:eastAsia="Times New Roman" w:hAnsi="Calibri" w:cs="Calibri"/>
                <w:color w:val="000000"/>
              </w:rPr>
              <w:t>Abundance</w:t>
            </w:r>
          </w:p>
        </w:tc>
        <w:tc>
          <w:tcPr>
            <w:tcW w:w="1240" w:type="dxa"/>
            <w:tcBorders>
              <w:top w:val="single" w:sz="4" w:space="0" w:color="auto"/>
              <w:left w:val="nil"/>
              <w:bottom w:val="single" w:sz="4" w:space="0" w:color="auto"/>
              <w:right w:val="nil"/>
            </w:tcBorders>
            <w:shd w:val="clear" w:color="auto" w:fill="auto"/>
            <w:vAlign w:val="center"/>
            <w:hideMark/>
          </w:tcPr>
          <w:p w14:paraId="635689A0"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Total</w:t>
            </w:r>
            <w:r w:rsidRPr="00CA65DE">
              <w:rPr>
                <w:rFonts w:ascii="Calibri" w:eastAsia="Times New Roman" w:hAnsi="Calibri" w:cs="Calibri"/>
                <w:color w:val="000000"/>
                <w:vertAlign w:val="superscript"/>
              </w:rPr>
              <w:t xml:space="preserve"> </w:t>
            </w:r>
            <w:r w:rsidRPr="00CA65DE">
              <w:rPr>
                <w:rFonts w:ascii="Calibri" w:eastAsia="Times New Roman" w:hAnsi="Calibri" w:cs="Calibri"/>
                <w:color w:val="000000"/>
              </w:rPr>
              <w:t>Biomass</w:t>
            </w:r>
          </w:p>
        </w:tc>
      </w:tr>
      <w:tr w:rsidR="00CA65DE" w:rsidRPr="00CA65DE" w14:paraId="1D243435" w14:textId="77777777" w:rsidTr="00CA65DE">
        <w:trPr>
          <w:trHeight w:val="300"/>
          <w:jc w:val="center"/>
        </w:trPr>
        <w:tc>
          <w:tcPr>
            <w:tcW w:w="1120" w:type="dxa"/>
            <w:tcBorders>
              <w:top w:val="nil"/>
              <w:left w:val="nil"/>
              <w:bottom w:val="nil"/>
              <w:right w:val="nil"/>
            </w:tcBorders>
            <w:shd w:val="clear" w:color="auto" w:fill="auto"/>
            <w:vAlign w:val="center"/>
            <w:hideMark/>
          </w:tcPr>
          <w:p w14:paraId="0D7E6DE8"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2005</w:t>
            </w:r>
          </w:p>
        </w:tc>
        <w:tc>
          <w:tcPr>
            <w:tcW w:w="1360" w:type="dxa"/>
            <w:tcBorders>
              <w:top w:val="nil"/>
              <w:left w:val="nil"/>
              <w:bottom w:val="nil"/>
              <w:right w:val="nil"/>
            </w:tcBorders>
            <w:shd w:val="clear" w:color="auto" w:fill="auto"/>
            <w:noWrap/>
            <w:vAlign w:val="center"/>
            <w:hideMark/>
          </w:tcPr>
          <w:p w14:paraId="464B1A1F"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NA</w:t>
            </w:r>
          </w:p>
        </w:tc>
        <w:tc>
          <w:tcPr>
            <w:tcW w:w="1360" w:type="dxa"/>
            <w:tcBorders>
              <w:top w:val="nil"/>
              <w:left w:val="nil"/>
              <w:bottom w:val="nil"/>
              <w:right w:val="nil"/>
            </w:tcBorders>
            <w:shd w:val="clear" w:color="auto" w:fill="auto"/>
            <w:noWrap/>
            <w:vAlign w:val="center"/>
            <w:hideMark/>
          </w:tcPr>
          <w:p w14:paraId="4A3603FB"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NA</w:t>
            </w:r>
          </w:p>
        </w:tc>
        <w:tc>
          <w:tcPr>
            <w:tcW w:w="1360" w:type="dxa"/>
            <w:tcBorders>
              <w:top w:val="nil"/>
              <w:left w:val="nil"/>
              <w:bottom w:val="nil"/>
              <w:right w:val="nil"/>
            </w:tcBorders>
            <w:shd w:val="clear" w:color="auto" w:fill="auto"/>
            <w:noWrap/>
            <w:vAlign w:val="center"/>
            <w:hideMark/>
          </w:tcPr>
          <w:p w14:paraId="1543A388"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NA</w:t>
            </w:r>
          </w:p>
        </w:tc>
        <w:tc>
          <w:tcPr>
            <w:tcW w:w="1240" w:type="dxa"/>
            <w:tcBorders>
              <w:top w:val="nil"/>
              <w:left w:val="nil"/>
              <w:bottom w:val="nil"/>
              <w:right w:val="nil"/>
            </w:tcBorders>
            <w:shd w:val="clear" w:color="auto" w:fill="auto"/>
            <w:noWrap/>
            <w:vAlign w:val="center"/>
            <w:hideMark/>
          </w:tcPr>
          <w:p w14:paraId="5EE548BC"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NA</w:t>
            </w:r>
          </w:p>
        </w:tc>
      </w:tr>
      <w:tr w:rsidR="00CA65DE" w:rsidRPr="00CA65DE" w14:paraId="25DE3011" w14:textId="77777777" w:rsidTr="00CA65DE">
        <w:trPr>
          <w:trHeight w:val="300"/>
          <w:jc w:val="center"/>
        </w:trPr>
        <w:tc>
          <w:tcPr>
            <w:tcW w:w="1120" w:type="dxa"/>
            <w:tcBorders>
              <w:top w:val="nil"/>
              <w:left w:val="nil"/>
              <w:bottom w:val="nil"/>
              <w:right w:val="nil"/>
            </w:tcBorders>
            <w:shd w:val="clear" w:color="auto" w:fill="auto"/>
            <w:noWrap/>
            <w:vAlign w:val="center"/>
            <w:hideMark/>
          </w:tcPr>
          <w:p w14:paraId="10F39BEA"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2007</w:t>
            </w:r>
          </w:p>
        </w:tc>
        <w:tc>
          <w:tcPr>
            <w:tcW w:w="1360" w:type="dxa"/>
            <w:tcBorders>
              <w:top w:val="nil"/>
              <w:left w:val="nil"/>
              <w:bottom w:val="nil"/>
              <w:right w:val="nil"/>
            </w:tcBorders>
            <w:shd w:val="clear" w:color="auto" w:fill="auto"/>
            <w:noWrap/>
            <w:vAlign w:val="center"/>
            <w:hideMark/>
          </w:tcPr>
          <w:p w14:paraId="6CB11E7F"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2.0%</w:t>
            </w:r>
          </w:p>
        </w:tc>
        <w:tc>
          <w:tcPr>
            <w:tcW w:w="1360" w:type="dxa"/>
            <w:tcBorders>
              <w:top w:val="nil"/>
              <w:left w:val="nil"/>
              <w:bottom w:val="nil"/>
              <w:right w:val="nil"/>
            </w:tcBorders>
            <w:shd w:val="clear" w:color="auto" w:fill="auto"/>
            <w:noWrap/>
            <w:vAlign w:val="center"/>
            <w:hideMark/>
          </w:tcPr>
          <w:p w14:paraId="61EBDAB5"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2.3%</w:t>
            </w:r>
          </w:p>
        </w:tc>
        <w:tc>
          <w:tcPr>
            <w:tcW w:w="1360" w:type="dxa"/>
            <w:tcBorders>
              <w:top w:val="nil"/>
              <w:left w:val="nil"/>
              <w:bottom w:val="nil"/>
              <w:right w:val="nil"/>
            </w:tcBorders>
            <w:shd w:val="clear" w:color="auto" w:fill="auto"/>
            <w:noWrap/>
            <w:vAlign w:val="center"/>
            <w:hideMark/>
          </w:tcPr>
          <w:p w14:paraId="3032333D"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2.2%</w:t>
            </w:r>
          </w:p>
        </w:tc>
        <w:tc>
          <w:tcPr>
            <w:tcW w:w="1240" w:type="dxa"/>
            <w:tcBorders>
              <w:top w:val="nil"/>
              <w:left w:val="nil"/>
              <w:bottom w:val="nil"/>
              <w:right w:val="nil"/>
            </w:tcBorders>
            <w:shd w:val="clear" w:color="auto" w:fill="auto"/>
            <w:noWrap/>
            <w:vAlign w:val="center"/>
            <w:hideMark/>
          </w:tcPr>
          <w:p w14:paraId="10E46AB4"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6.9%</w:t>
            </w:r>
          </w:p>
        </w:tc>
      </w:tr>
      <w:tr w:rsidR="00CA65DE" w:rsidRPr="00CA65DE" w14:paraId="573BFE8C" w14:textId="77777777" w:rsidTr="00CA65DE">
        <w:trPr>
          <w:trHeight w:val="300"/>
          <w:jc w:val="center"/>
        </w:trPr>
        <w:tc>
          <w:tcPr>
            <w:tcW w:w="1120" w:type="dxa"/>
            <w:tcBorders>
              <w:top w:val="nil"/>
              <w:left w:val="nil"/>
              <w:bottom w:val="nil"/>
              <w:right w:val="nil"/>
            </w:tcBorders>
            <w:shd w:val="clear" w:color="auto" w:fill="auto"/>
            <w:noWrap/>
            <w:vAlign w:val="center"/>
            <w:hideMark/>
          </w:tcPr>
          <w:p w14:paraId="57E6CA40"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2009</w:t>
            </w:r>
          </w:p>
        </w:tc>
        <w:tc>
          <w:tcPr>
            <w:tcW w:w="1360" w:type="dxa"/>
            <w:tcBorders>
              <w:top w:val="nil"/>
              <w:left w:val="nil"/>
              <w:bottom w:val="nil"/>
              <w:right w:val="nil"/>
            </w:tcBorders>
            <w:shd w:val="clear" w:color="auto" w:fill="auto"/>
            <w:noWrap/>
            <w:vAlign w:val="center"/>
            <w:hideMark/>
          </w:tcPr>
          <w:p w14:paraId="4BE9DD6E"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0.7%</w:t>
            </w:r>
          </w:p>
        </w:tc>
        <w:tc>
          <w:tcPr>
            <w:tcW w:w="1360" w:type="dxa"/>
            <w:tcBorders>
              <w:top w:val="nil"/>
              <w:left w:val="nil"/>
              <w:bottom w:val="nil"/>
              <w:right w:val="nil"/>
            </w:tcBorders>
            <w:shd w:val="clear" w:color="auto" w:fill="auto"/>
            <w:noWrap/>
            <w:vAlign w:val="center"/>
            <w:hideMark/>
          </w:tcPr>
          <w:p w14:paraId="65E0992E"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-0.9%</w:t>
            </w:r>
          </w:p>
        </w:tc>
        <w:tc>
          <w:tcPr>
            <w:tcW w:w="1360" w:type="dxa"/>
            <w:tcBorders>
              <w:top w:val="nil"/>
              <w:left w:val="nil"/>
              <w:bottom w:val="nil"/>
              <w:right w:val="nil"/>
            </w:tcBorders>
            <w:shd w:val="clear" w:color="auto" w:fill="auto"/>
            <w:noWrap/>
            <w:vAlign w:val="center"/>
            <w:hideMark/>
          </w:tcPr>
          <w:p w14:paraId="746159D7"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-0.1%</w:t>
            </w:r>
          </w:p>
        </w:tc>
        <w:tc>
          <w:tcPr>
            <w:tcW w:w="1240" w:type="dxa"/>
            <w:tcBorders>
              <w:top w:val="nil"/>
              <w:left w:val="nil"/>
              <w:bottom w:val="nil"/>
              <w:right w:val="nil"/>
            </w:tcBorders>
            <w:shd w:val="clear" w:color="auto" w:fill="auto"/>
            <w:noWrap/>
            <w:vAlign w:val="center"/>
            <w:hideMark/>
          </w:tcPr>
          <w:p w14:paraId="55C08F08"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-0.8%</w:t>
            </w:r>
          </w:p>
        </w:tc>
      </w:tr>
      <w:tr w:rsidR="00CA65DE" w:rsidRPr="00CA65DE" w14:paraId="516C0F4C" w14:textId="77777777" w:rsidTr="00CA65DE">
        <w:trPr>
          <w:trHeight w:val="300"/>
          <w:jc w:val="center"/>
        </w:trPr>
        <w:tc>
          <w:tcPr>
            <w:tcW w:w="1120" w:type="dxa"/>
            <w:tcBorders>
              <w:top w:val="nil"/>
              <w:left w:val="nil"/>
              <w:bottom w:val="nil"/>
              <w:right w:val="nil"/>
            </w:tcBorders>
            <w:shd w:val="clear" w:color="auto" w:fill="auto"/>
            <w:noWrap/>
            <w:vAlign w:val="center"/>
            <w:hideMark/>
          </w:tcPr>
          <w:p w14:paraId="33A11621"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2010</w:t>
            </w:r>
          </w:p>
        </w:tc>
        <w:tc>
          <w:tcPr>
            <w:tcW w:w="1360" w:type="dxa"/>
            <w:tcBorders>
              <w:top w:val="nil"/>
              <w:left w:val="nil"/>
              <w:bottom w:val="nil"/>
              <w:right w:val="nil"/>
            </w:tcBorders>
            <w:shd w:val="clear" w:color="auto" w:fill="auto"/>
            <w:noWrap/>
            <w:vAlign w:val="center"/>
            <w:hideMark/>
          </w:tcPr>
          <w:p w14:paraId="45DABE97"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-6.6%</w:t>
            </w:r>
          </w:p>
        </w:tc>
        <w:tc>
          <w:tcPr>
            <w:tcW w:w="1360" w:type="dxa"/>
            <w:tcBorders>
              <w:top w:val="nil"/>
              <w:left w:val="nil"/>
              <w:bottom w:val="nil"/>
              <w:right w:val="nil"/>
            </w:tcBorders>
            <w:shd w:val="clear" w:color="auto" w:fill="auto"/>
            <w:noWrap/>
            <w:vAlign w:val="center"/>
            <w:hideMark/>
          </w:tcPr>
          <w:p w14:paraId="73CE6F15"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8.5%</w:t>
            </w:r>
          </w:p>
        </w:tc>
        <w:tc>
          <w:tcPr>
            <w:tcW w:w="1360" w:type="dxa"/>
            <w:tcBorders>
              <w:top w:val="nil"/>
              <w:left w:val="nil"/>
              <w:bottom w:val="nil"/>
              <w:right w:val="nil"/>
            </w:tcBorders>
            <w:shd w:val="clear" w:color="auto" w:fill="auto"/>
            <w:noWrap/>
            <w:vAlign w:val="center"/>
            <w:hideMark/>
          </w:tcPr>
          <w:p w14:paraId="51887CBA"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-2.5%</w:t>
            </w:r>
          </w:p>
        </w:tc>
        <w:tc>
          <w:tcPr>
            <w:tcW w:w="1240" w:type="dxa"/>
            <w:tcBorders>
              <w:top w:val="nil"/>
              <w:left w:val="nil"/>
              <w:bottom w:val="nil"/>
              <w:right w:val="nil"/>
            </w:tcBorders>
            <w:shd w:val="clear" w:color="auto" w:fill="auto"/>
            <w:noWrap/>
            <w:vAlign w:val="center"/>
            <w:hideMark/>
          </w:tcPr>
          <w:p w14:paraId="7C25CE66"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2.8%</w:t>
            </w:r>
          </w:p>
        </w:tc>
      </w:tr>
      <w:tr w:rsidR="00CA65DE" w:rsidRPr="00CA65DE" w14:paraId="64E0C47E" w14:textId="77777777" w:rsidTr="00CA65DE">
        <w:trPr>
          <w:trHeight w:val="300"/>
          <w:jc w:val="center"/>
        </w:trPr>
        <w:tc>
          <w:tcPr>
            <w:tcW w:w="1120" w:type="dxa"/>
            <w:tcBorders>
              <w:top w:val="nil"/>
              <w:left w:val="nil"/>
              <w:bottom w:val="nil"/>
              <w:right w:val="nil"/>
            </w:tcBorders>
            <w:shd w:val="clear" w:color="auto" w:fill="auto"/>
            <w:noWrap/>
            <w:vAlign w:val="center"/>
            <w:hideMark/>
          </w:tcPr>
          <w:p w14:paraId="3993B458"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2012</w:t>
            </w:r>
          </w:p>
        </w:tc>
        <w:tc>
          <w:tcPr>
            <w:tcW w:w="1360" w:type="dxa"/>
            <w:tcBorders>
              <w:top w:val="nil"/>
              <w:left w:val="nil"/>
              <w:bottom w:val="nil"/>
              <w:right w:val="nil"/>
            </w:tcBorders>
            <w:shd w:val="clear" w:color="auto" w:fill="auto"/>
            <w:noWrap/>
            <w:vAlign w:val="center"/>
            <w:hideMark/>
          </w:tcPr>
          <w:p w14:paraId="727A76B9"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-6.1%</w:t>
            </w:r>
          </w:p>
        </w:tc>
        <w:tc>
          <w:tcPr>
            <w:tcW w:w="1360" w:type="dxa"/>
            <w:tcBorders>
              <w:top w:val="nil"/>
              <w:left w:val="nil"/>
              <w:bottom w:val="nil"/>
              <w:right w:val="nil"/>
            </w:tcBorders>
            <w:shd w:val="clear" w:color="auto" w:fill="auto"/>
            <w:noWrap/>
            <w:vAlign w:val="center"/>
            <w:hideMark/>
          </w:tcPr>
          <w:p w14:paraId="5F29807B"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9.0%</w:t>
            </w:r>
          </w:p>
        </w:tc>
        <w:tc>
          <w:tcPr>
            <w:tcW w:w="1360" w:type="dxa"/>
            <w:tcBorders>
              <w:top w:val="nil"/>
              <w:left w:val="nil"/>
              <w:bottom w:val="nil"/>
              <w:right w:val="nil"/>
            </w:tcBorders>
            <w:shd w:val="clear" w:color="auto" w:fill="auto"/>
            <w:noWrap/>
            <w:vAlign w:val="center"/>
            <w:hideMark/>
          </w:tcPr>
          <w:p w14:paraId="5632D077"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-0.6%</w:t>
            </w:r>
          </w:p>
        </w:tc>
        <w:tc>
          <w:tcPr>
            <w:tcW w:w="1240" w:type="dxa"/>
            <w:tcBorders>
              <w:top w:val="nil"/>
              <w:left w:val="nil"/>
              <w:bottom w:val="nil"/>
              <w:right w:val="nil"/>
            </w:tcBorders>
            <w:shd w:val="clear" w:color="auto" w:fill="auto"/>
            <w:noWrap/>
            <w:vAlign w:val="center"/>
            <w:hideMark/>
          </w:tcPr>
          <w:p w14:paraId="767440A4"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4.3%</w:t>
            </w:r>
          </w:p>
        </w:tc>
      </w:tr>
      <w:tr w:rsidR="00CA65DE" w:rsidRPr="00CA65DE" w14:paraId="4C9F5A2C" w14:textId="77777777" w:rsidTr="00CA65DE">
        <w:trPr>
          <w:trHeight w:val="300"/>
          <w:jc w:val="center"/>
        </w:trPr>
        <w:tc>
          <w:tcPr>
            <w:tcW w:w="1120" w:type="dxa"/>
            <w:tcBorders>
              <w:top w:val="nil"/>
              <w:left w:val="nil"/>
              <w:bottom w:val="nil"/>
              <w:right w:val="nil"/>
            </w:tcBorders>
            <w:shd w:val="clear" w:color="auto" w:fill="auto"/>
            <w:noWrap/>
            <w:vAlign w:val="center"/>
            <w:hideMark/>
          </w:tcPr>
          <w:p w14:paraId="1DDF0BCA"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2013</w:t>
            </w:r>
          </w:p>
        </w:tc>
        <w:tc>
          <w:tcPr>
            <w:tcW w:w="1360" w:type="dxa"/>
            <w:tcBorders>
              <w:top w:val="nil"/>
              <w:left w:val="nil"/>
              <w:bottom w:val="nil"/>
              <w:right w:val="nil"/>
            </w:tcBorders>
            <w:shd w:val="clear" w:color="auto" w:fill="auto"/>
            <w:noWrap/>
            <w:vAlign w:val="center"/>
            <w:hideMark/>
          </w:tcPr>
          <w:p w14:paraId="10D3FB15"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-2.7%</w:t>
            </w:r>
          </w:p>
        </w:tc>
        <w:tc>
          <w:tcPr>
            <w:tcW w:w="1360" w:type="dxa"/>
            <w:tcBorders>
              <w:top w:val="nil"/>
              <w:left w:val="nil"/>
              <w:bottom w:val="nil"/>
              <w:right w:val="nil"/>
            </w:tcBorders>
            <w:shd w:val="clear" w:color="auto" w:fill="auto"/>
            <w:noWrap/>
            <w:vAlign w:val="center"/>
            <w:hideMark/>
          </w:tcPr>
          <w:p w14:paraId="2F541F09"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2.0%</w:t>
            </w:r>
          </w:p>
        </w:tc>
        <w:tc>
          <w:tcPr>
            <w:tcW w:w="1360" w:type="dxa"/>
            <w:tcBorders>
              <w:top w:val="nil"/>
              <w:left w:val="nil"/>
              <w:bottom w:val="nil"/>
              <w:right w:val="nil"/>
            </w:tcBorders>
            <w:shd w:val="clear" w:color="auto" w:fill="auto"/>
            <w:noWrap/>
            <w:vAlign w:val="center"/>
            <w:hideMark/>
          </w:tcPr>
          <w:p w14:paraId="49375DE8"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-0.7%</w:t>
            </w:r>
          </w:p>
        </w:tc>
        <w:tc>
          <w:tcPr>
            <w:tcW w:w="1240" w:type="dxa"/>
            <w:tcBorders>
              <w:top w:val="nil"/>
              <w:left w:val="nil"/>
              <w:bottom w:val="nil"/>
              <w:right w:val="nil"/>
            </w:tcBorders>
            <w:shd w:val="clear" w:color="auto" w:fill="auto"/>
            <w:noWrap/>
            <w:vAlign w:val="center"/>
            <w:hideMark/>
          </w:tcPr>
          <w:p w14:paraId="6C1A6B9D"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3.1%</w:t>
            </w:r>
          </w:p>
        </w:tc>
      </w:tr>
      <w:tr w:rsidR="00CA65DE" w:rsidRPr="00CA65DE" w14:paraId="0CE64127" w14:textId="77777777" w:rsidTr="00CA65DE">
        <w:trPr>
          <w:trHeight w:val="300"/>
          <w:jc w:val="center"/>
        </w:trPr>
        <w:tc>
          <w:tcPr>
            <w:tcW w:w="1120" w:type="dxa"/>
            <w:tcBorders>
              <w:top w:val="nil"/>
              <w:left w:val="nil"/>
              <w:bottom w:val="nil"/>
              <w:right w:val="nil"/>
            </w:tcBorders>
            <w:shd w:val="clear" w:color="auto" w:fill="auto"/>
            <w:noWrap/>
            <w:vAlign w:val="center"/>
            <w:hideMark/>
          </w:tcPr>
          <w:p w14:paraId="185338CE"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2014</w:t>
            </w:r>
          </w:p>
        </w:tc>
        <w:tc>
          <w:tcPr>
            <w:tcW w:w="1360" w:type="dxa"/>
            <w:tcBorders>
              <w:top w:val="nil"/>
              <w:left w:val="nil"/>
              <w:bottom w:val="nil"/>
              <w:right w:val="nil"/>
            </w:tcBorders>
            <w:shd w:val="clear" w:color="auto" w:fill="auto"/>
            <w:noWrap/>
            <w:vAlign w:val="center"/>
            <w:hideMark/>
          </w:tcPr>
          <w:p w14:paraId="4BB7031D"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-1.4%</w:t>
            </w:r>
          </w:p>
        </w:tc>
        <w:tc>
          <w:tcPr>
            <w:tcW w:w="1360" w:type="dxa"/>
            <w:tcBorders>
              <w:top w:val="nil"/>
              <w:left w:val="nil"/>
              <w:bottom w:val="nil"/>
              <w:right w:val="nil"/>
            </w:tcBorders>
            <w:shd w:val="clear" w:color="auto" w:fill="auto"/>
            <w:noWrap/>
            <w:vAlign w:val="center"/>
            <w:hideMark/>
          </w:tcPr>
          <w:p w14:paraId="46FF45ED"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0.9%</w:t>
            </w:r>
          </w:p>
        </w:tc>
        <w:tc>
          <w:tcPr>
            <w:tcW w:w="1360" w:type="dxa"/>
            <w:tcBorders>
              <w:top w:val="nil"/>
              <w:left w:val="nil"/>
              <w:bottom w:val="nil"/>
              <w:right w:val="nil"/>
            </w:tcBorders>
            <w:shd w:val="clear" w:color="auto" w:fill="auto"/>
            <w:noWrap/>
            <w:vAlign w:val="center"/>
            <w:hideMark/>
          </w:tcPr>
          <w:p w14:paraId="4A2A7F7F"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-0.7%</w:t>
            </w:r>
          </w:p>
        </w:tc>
        <w:tc>
          <w:tcPr>
            <w:tcW w:w="1240" w:type="dxa"/>
            <w:tcBorders>
              <w:top w:val="nil"/>
              <w:left w:val="nil"/>
              <w:bottom w:val="nil"/>
              <w:right w:val="nil"/>
            </w:tcBorders>
            <w:shd w:val="clear" w:color="auto" w:fill="auto"/>
            <w:noWrap/>
            <w:vAlign w:val="center"/>
            <w:hideMark/>
          </w:tcPr>
          <w:p w14:paraId="5B6A0247"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-1.2%</w:t>
            </w:r>
          </w:p>
        </w:tc>
      </w:tr>
      <w:tr w:rsidR="00CA65DE" w:rsidRPr="00CA65DE" w14:paraId="09F76AB0" w14:textId="77777777" w:rsidTr="00CA65DE">
        <w:trPr>
          <w:trHeight w:val="300"/>
          <w:jc w:val="center"/>
        </w:trPr>
        <w:tc>
          <w:tcPr>
            <w:tcW w:w="1120" w:type="dxa"/>
            <w:tcBorders>
              <w:top w:val="nil"/>
              <w:left w:val="nil"/>
              <w:bottom w:val="nil"/>
              <w:right w:val="nil"/>
            </w:tcBorders>
            <w:shd w:val="clear" w:color="auto" w:fill="auto"/>
            <w:noWrap/>
            <w:vAlign w:val="center"/>
            <w:hideMark/>
          </w:tcPr>
          <w:p w14:paraId="785E2319"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2018</w:t>
            </w:r>
          </w:p>
        </w:tc>
        <w:tc>
          <w:tcPr>
            <w:tcW w:w="1360" w:type="dxa"/>
            <w:tcBorders>
              <w:top w:val="nil"/>
              <w:left w:val="nil"/>
              <w:bottom w:val="nil"/>
              <w:right w:val="nil"/>
            </w:tcBorders>
            <w:shd w:val="clear" w:color="auto" w:fill="auto"/>
            <w:noWrap/>
            <w:vAlign w:val="center"/>
            <w:hideMark/>
          </w:tcPr>
          <w:p w14:paraId="4E755D2F"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-4.2%</w:t>
            </w:r>
          </w:p>
        </w:tc>
        <w:tc>
          <w:tcPr>
            <w:tcW w:w="1360" w:type="dxa"/>
            <w:tcBorders>
              <w:top w:val="nil"/>
              <w:left w:val="nil"/>
              <w:bottom w:val="nil"/>
              <w:right w:val="nil"/>
            </w:tcBorders>
            <w:shd w:val="clear" w:color="auto" w:fill="auto"/>
            <w:noWrap/>
            <w:vAlign w:val="center"/>
            <w:hideMark/>
          </w:tcPr>
          <w:p w14:paraId="0784AB85"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5.5%</w:t>
            </w:r>
          </w:p>
        </w:tc>
        <w:tc>
          <w:tcPr>
            <w:tcW w:w="1360" w:type="dxa"/>
            <w:tcBorders>
              <w:top w:val="nil"/>
              <w:left w:val="nil"/>
              <w:bottom w:val="nil"/>
              <w:right w:val="nil"/>
            </w:tcBorders>
            <w:shd w:val="clear" w:color="auto" w:fill="auto"/>
            <w:noWrap/>
            <w:vAlign w:val="center"/>
            <w:hideMark/>
          </w:tcPr>
          <w:p w14:paraId="07B4BFD2"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-1.4%</w:t>
            </w:r>
          </w:p>
        </w:tc>
        <w:tc>
          <w:tcPr>
            <w:tcW w:w="1240" w:type="dxa"/>
            <w:tcBorders>
              <w:top w:val="nil"/>
              <w:left w:val="nil"/>
              <w:bottom w:val="nil"/>
              <w:right w:val="nil"/>
            </w:tcBorders>
            <w:shd w:val="clear" w:color="auto" w:fill="auto"/>
            <w:noWrap/>
            <w:vAlign w:val="center"/>
            <w:hideMark/>
          </w:tcPr>
          <w:p w14:paraId="3C2F9F1A"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1.6%</w:t>
            </w:r>
          </w:p>
        </w:tc>
      </w:tr>
      <w:tr w:rsidR="00CA65DE" w:rsidRPr="00CA65DE" w14:paraId="2ED74134" w14:textId="77777777" w:rsidTr="00CA65DE">
        <w:trPr>
          <w:trHeight w:val="300"/>
          <w:jc w:val="center"/>
        </w:trPr>
        <w:tc>
          <w:tcPr>
            <w:tcW w:w="1120" w:type="dxa"/>
            <w:tcBorders>
              <w:top w:val="single" w:sz="4" w:space="0" w:color="auto"/>
              <w:left w:val="nil"/>
              <w:bottom w:val="single" w:sz="4" w:space="0" w:color="auto"/>
              <w:right w:val="nil"/>
            </w:tcBorders>
            <w:shd w:val="clear" w:color="auto" w:fill="auto"/>
            <w:noWrap/>
            <w:vAlign w:val="bottom"/>
            <w:hideMark/>
          </w:tcPr>
          <w:p w14:paraId="73C484ED" w14:textId="77777777" w:rsidR="00CA65DE" w:rsidRPr="00CA65DE" w:rsidRDefault="00CA65DE" w:rsidP="00CA65DE">
            <w:pPr>
              <w:spacing w:after="0" w:line="240" w:lineRule="auto"/>
              <w:jc w:val="right"/>
              <w:rPr>
                <w:rFonts w:ascii="Calibri" w:eastAsia="Times New Roman" w:hAnsi="Calibri" w:cs="Calibri"/>
                <w:color w:val="000000"/>
              </w:rPr>
            </w:pPr>
            <w:r w:rsidRPr="00CA65DE">
              <w:rPr>
                <w:rFonts w:ascii="Calibri" w:eastAsia="Times New Roman" w:hAnsi="Calibri" w:cs="Calibri"/>
                <w:color w:val="000000"/>
              </w:rPr>
              <w:t>Average</w:t>
            </w:r>
          </w:p>
        </w:tc>
        <w:tc>
          <w:tcPr>
            <w:tcW w:w="1360" w:type="dxa"/>
            <w:tcBorders>
              <w:top w:val="single" w:sz="4" w:space="0" w:color="auto"/>
              <w:left w:val="nil"/>
              <w:bottom w:val="single" w:sz="4" w:space="0" w:color="auto"/>
              <w:right w:val="nil"/>
            </w:tcBorders>
            <w:shd w:val="clear" w:color="auto" w:fill="auto"/>
            <w:noWrap/>
            <w:vAlign w:val="bottom"/>
            <w:hideMark/>
          </w:tcPr>
          <w:p w14:paraId="552C71A1"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-2.6%</w:t>
            </w:r>
          </w:p>
        </w:tc>
        <w:tc>
          <w:tcPr>
            <w:tcW w:w="1360" w:type="dxa"/>
            <w:tcBorders>
              <w:top w:val="single" w:sz="4" w:space="0" w:color="auto"/>
              <w:left w:val="nil"/>
              <w:bottom w:val="single" w:sz="4" w:space="0" w:color="auto"/>
              <w:right w:val="nil"/>
            </w:tcBorders>
            <w:shd w:val="clear" w:color="auto" w:fill="auto"/>
            <w:noWrap/>
            <w:vAlign w:val="bottom"/>
            <w:hideMark/>
          </w:tcPr>
          <w:p w14:paraId="25101F4E"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3.9%</w:t>
            </w:r>
          </w:p>
        </w:tc>
        <w:tc>
          <w:tcPr>
            <w:tcW w:w="1360" w:type="dxa"/>
            <w:tcBorders>
              <w:top w:val="single" w:sz="4" w:space="0" w:color="auto"/>
              <w:left w:val="nil"/>
              <w:bottom w:val="single" w:sz="4" w:space="0" w:color="auto"/>
              <w:right w:val="nil"/>
            </w:tcBorders>
            <w:shd w:val="clear" w:color="auto" w:fill="auto"/>
            <w:noWrap/>
            <w:vAlign w:val="bottom"/>
            <w:hideMark/>
          </w:tcPr>
          <w:p w14:paraId="768DC9CD"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-0.5%</w:t>
            </w:r>
          </w:p>
        </w:tc>
        <w:tc>
          <w:tcPr>
            <w:tcW w:w="1240" w:type="dxa"/>
            <w:tcBorders>
              <w:top w:val="single" w:sz="4" w:space="0" w:color="auto"/>
              <w:left w:val="nil"/>
              <w:bottom w:val="single" w:sz="4" w:space="0" w:color="auto"/>
              <w:right w:val="nil"/>
            </w:tcBorders>
            <w:shd w:val="clear" w:color="auto" w:fill="auto"/>
            <w:noWrap/>
            <w:vAlign w:val="bottom"/>
            <w:hideMark/>
          </w:tcPr>
          <w:p w14:paraId="3883AED7" w14:textId="77777777" w:rsidR="00CA65DE" w:rsidRPr="00CA65DE" w:rsidRDefault="00CA65DE" w:rsidP="00CA65DE">
            <w:pPr>
              <w:spacing w:after="0" w:line="240" w:lineRule="auto"/>
              <w:jc w:val="center"/>
              <w:rPr>
                <w:rFonts w:ascii="Calibri" w:eastAsia="Times New Roman" w:hAnsi="Calibri" w:cs="Calibri"/>
                <w:color w:val="000000"/>
              </w:rPr>
            </w:pPr>
            <w:r w:rsidRPr="00CA65DE">
              <w:rPr>
                <w:rFonts w:ascii="Calibri" w:eastAsia="Times New Roman" w:hAnsi="Calibri" w:cs="Calibri"/>
                <w:color w:val="000000"/>
              </w:rPr>
              <w:t>2.4%</w:t>
            </w:r>
          </w:p>
        </w:tc>
      </w:tr>
    </w:tbl>
    <w:p w14:paraId="32073ADA" w14:textId="77777777" w:rsidR="00293FEA" w:rsidRPr="00293FEA" w:rsidRDefault="00293FEA" w:rsidP="00293FEA">
      <w:pPr>
        <w:spacing w:after="0"/>
        <w:rPr>
          <w:rFonts w:ascii="Times New Roman" w:hAnsi="Times New Roman" w:cs="Times New Roman"/>
          <w:sz w:val="24"/>
        </w:rPr>
      </w:pPr>
    </w:p>
    <w:p w14:paraId="5A697B3C" w14:textId="0E600300" w:rsidR="00293FEA" w:rsidRPr="00293FEA" w:rsidRDefault="00293FEA" w:rsidP="00293FEA">
      <w:pPr>
        <w:spacing w:after="0"/>
        <w:rPr>
          <w:rFonts w:ascii="Times New Roman" w:hAnsi="Times New Roman" w:cs="Times New Roman"/>
          <w:iCs/>
          <w:sz w:val="24"/>
        </w:rPr>
      </w:pPr>
      <w:bookmarkStart w:id="2" w:name="_Ref155768488"/>
      <w:r w:rsidRPr="00293FEA">
        <w:rPr>
          <w:rFonts w:ascii="Times New Roman" w:hAnsi="Times New Roman" w:cs="Times New Roman"/>
          <w:iCs/>
          <w:sz w:val="24"/>
        </w:rPr>
        <w:t xml:space="preserve">Table </w:t>
      </w:r>
      <w:bookmarkEnd w:id="2"/>
      <w:r w:rsidR="0097645F">
        <w:rPr>
          <w:rFonts w:ascii="Times New Roman" w:hAnsi="Times New Roman" w:cs="Times New Roman"/>
          <w:iCs/>
          <w:sz w:val="24"/>
        </w:rPr>
        <w:t>3</w:t>
      </w:r>
      <w:r w:rsidRPr="00293FEA">
        <w:rPr>
          <w:rFonts w:ascii="Times New Roman" w:hAnsi="Times New Roman" w:cs="Times New Roman"/>
          <w:iCs/>
          <w:sz w:val="24"/>
        </w:rPr>
        <w:t xml:space="preserve">. </w:t>
      </w:r>
      <w:r w:rsidR="00E4471A" w:rsidRPr="00293FEA">
        <w:rPr>
          <w:rFonts w:ascii="Times New Roman" w:hAnsi="Times New Roman" w:cs="Times New Roman"/>
          <w:iCs/>
          <w:sz w:val="24"/>
        </w:rPr>
        <w:t>Difference</w:t>
      </w:r>
      <w:r w:rsidR="00E4471A">
        <w:rPr>
          <w:rFonts w:ascii="Times New Roman" w:hAnsi="Times New Roman" w:cs="Times New Roman"/>
          <w:iCs/>
          <w:sz w:val="24"/>
        </w:rPr>
        <w:t>s</w:t>
      </w:r>
      <w:r w:rsidR="00E4471A" w:rsidRPr="00293FEA">
        <w:rPr>
          <w:rFonts w:ascii="Times New Roman" w:hAnsi="Times New Roman" w:cs="Times New Roman"/>
          <w:iCs/>
          <w:sz w:val="24"/>
        </w:rPr>
        <w:t xml:space="preserve"> in </w:t>
      </w:r>
      <w:r w:rsidR="00E4471A">
        <w:rPr>
          <w:rFonts w:ascii="Times New Roman" w:hAnsi="Times New Roman" w:cs="Times New Roman"/>
          <w:iCs/>
          <w:sz w:val="24"/>
        </w:rPr>
        <w:t xml:space="preserve">S3 modelled </w:t>
      </w:r>
      <w:r w:rsidR="00E4471A" w:rsidRPr="00293FEA">
        <w:rPr>
          <w:rFonts w:ascii="Times New Roman" w:hAnsi="Times New Roman" w:cs="Times New Roman"/>
          <w:iCs/>
          <w:sz w:val="24"/>
        </w:rPr>
        <w:t xml:space="preserve">abundance (%) and biomass (%) </w:t>
      </w:r>
      <w:r w:rsidR="00E4471A">
        <w:rPr>
          <w:rFonts w:ascii="Times New Roman" w:hAnsi="Times New Roman" w:cs="Times New Roman"/>
          <w:iCs/>
          <w:sz w:val="24"/>
        </w:rPr>
        <w:t xml:space="preserve">of juvenile Chinook Salmon fry and parr </w:t>
      </w:r>
      <w:r w:rsidR="00E4471A" w:rsidRPr="00293FEA">
        <w:rPr>
          <w:rFonts w:ascii="Times New Roman" w:hAnsi="Times New Roman" w:cs="Times New Roman"/>
          <w:iCs/>
          <w:sz w:val="24"/>
        </w:rPr>
        <w:t xml:space="preserve">between the </w:t>
      </w:r>
      <w:r w:rsidR="00E4471A">
        <w:rPr>
          <w:rFonts w:ascii="Times New Roman" w:hAnsi="Times New Roman" w:cs="Times New Roman"/>
          <w:iCs/>
          <w:sz w:val="24"/>
        </w:rPr>
        <w:t>revised WVF recommendation</w:t>
      </w:r>
      <w:r w:rsidR="00E4471A" w:rsidRPr="00293FEA">
        <w:rPr>
          <w:rFonts w:ascii="Times New Roman" w:hAnsi="Times New Roman" w:cs="Times New Roman"/>
          <w:iCs/>
          <w:sz w:val="24"/>
        </w:rPr>
        <w:t xml:space="preserve"> and </w:t>
      </w:r>
      <w:r w:rsidR="00E4471A">
        <w:rPr>
          <w:rFonts w:ascii="Times New Roman" w:hAnsi="Times New Roman" w:cs="Times New Roman"/>
          <w:iCs/>
          <w:sz w:val="24"/>
        </w:rPr>
        <w:t>ROD</w:t>
      </w:r>
      <w:r w:rsidR="00E4471A" w:rsidRPr="00293FEA">
        <w:rPr>
          <w:rFonts w:ascii="Times New Roman" w:hAnsi="Times New Roman" w:cs="Times New Roman"/>
          <w:iCs/>
          <w:sz w:val="24"/>
        </w:rPr>
        <w:t xml:space="preserve"> conditions at </w:t>
      </w:r>
      <w:r w:rsidR="00E4471A">
        <w:rPr>
          <w:rFonts w:ascii="Times New Roman" w:hAnsi="Times New Roman" w:cs="Times New Roman"/>
          <w:iCs/>
          <w:sz w:val="24"/>
        </w:rPr>
        <w:t>Weitchpec</w:t>
      </w:r>
      <w:r w:rsidR="00E4471A" w:rsidRPr="00293FEA">
        <w:rPr>
          <w:rFonts w:ascii="Times New Roman" w:hAnsi="Times New Roman" w:cs="Times New Roman"/>
          <w:iCs/>
          <w:sz w:val="24"/>
        </w:rPr>
        <w:t xml:space="preserve">. </w:t>
      </w:r>
      <w:r w:rsidR="00E4471A">
        <w:rPr>
          <w:rFonts w:ascii="Times New Roman" w:hAnsi="Times New Roman" w:cs="Times New Roman"/>
          <w:iCs/>
          <w:sz w:val="24"/>
        </w:rPr>
        <w:t>Differences in smolt abundance and biomass are included in totals, but not shown separately.</w:t>
      </w:r>
    </w:p>
    <w:tbl>
      <w:tblPr>
        <w:tblW w:w="6440" w:type="dxa"/>
        <w:jc w:val="center"/>
        <w:tblLook w:val="04A0" w:firstRow="1" w:lastRow="0" w:firstColumn="1" w:lastColumn="0" w:noHBand="0" w:noVBand="1"/>
      </w:tblPr>
      <w:tblGrid>
        <w:gridCol w:w="1120"/>
        <w:gridCol w:w="1360"/>
        <w:gridCol w:w="1360"/>
        <w:gridCol w:w="1360"/>
        <w:gridCol w:w="1240"/>
      </w:tblGrid>
      <w:tr w:rsidR="00022387" w:rsidRPr="00022387" w14:paraId="75E9F949" w14:textId="77777777" w:rsidTr="00022387">
        <w:trPr>
          <w:trHeight w:val="630"/>
          <w:jc w:val="center"/>
        </w:trPr>
        <w:tc>
          <w:tcPr>
            <w:tcW w:w="1120" w:type="dxa"/>
            <w:tcBorders>
              <w:top w:val="single" w:sz="4" w:space="0" w:color="auto"/>
              <w:left w:val="nil"/>
              <w:bottom w:val="single" w:sz="4" w:space="0" w:color="auto"/>
              <w:right w:val="nil"/>
            </w:tcBorders>
            <w:shd w:val="clear" w:color="auto" w:fill="auto"/>
            <w:vAlign w:val="center"/>
            <w:hideMark/>
          </w:tcPr>
          <w:p w14:paraId="4FE0D1F3"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lastRenderedPageBreak/>
              <w:t>Water Year</w:t>
            </w:r>
          </w:p>
        </w:tc>
        <w:tc>
          <w:tcPr>
            <w:tcW w:w="1360" w:type="dxa"/>
            <w:tcBorders>
              <w:top w:val="single" w:sz="4" w:space="0" w:color="auto"/>
              <w:left w:val="nil"/>
              <w:bottom w:val="single" w:sz="4" w:space="0" w:color="auto"/>
              <w:right w:val="nil"/>
            </w:tcBorders>
            <w:shd w:val="clear" w:color="auto" w:fill="auto"/>
            <w:vAlign w:val="center"/>
            <w:hideMark/>
          </w:tcPr>
          <w:p w14:paraId="7EE33AEE"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Fry Abundance</w:t>
            </w:r>
          </w:p>
        </w:tc>
        <w:tc>
          <w:tcPr>
            <w:tcW w:w="1360" w:type="dxa"/>
            <w:tcBorders>
              <w:top w:val="single" w:sz="4" w:space="0" w:color="auto"/>
              <w:left w:val="nil"/>
              <w:bottom w:val="single" w:sz="4" w:space="0" w:color="auto"/>
              <w:right w:val="nil"/>
            </w:tcBorders>
            <w:shd w:val="clear" w:color="auto" w:fill="auto"/>
            <w:vAlign w:val="center"/>
            <w:hideMark/>
          </w:tcPr>
          <w:p w14:paraId="6E58ACA0"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Parr Abundance</w:t>
            </w:r>
          </w:p>
        </w:tc>
        <w:tc>
          <w:tcPr>
            <w:tcW w:w="1360" w:type="dxa"/>
            <w:tcBorders>
              <w:top w:val="single" w:sz="4" w:space="0" w:color="auto"/>
              <w:left w:val="nil"/>
              <w:bottom w:val="single" w:sz="4" w:space="0" w:color="auto"/>
              <w:right w:val="nil"/>
            </w:tcBorders>
            <w:shd w:val="clear" w:color="auto" w:fill="auto"/>
            <w:vAlign w:val="center"/>
            <w:hideMark/>
          </w:tcPr>
          <w:p w14:paraId="5AE3732E"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Total Abundance</w:t>
            </w:r>
          </w:p>
        </w:tc>
        <w:tc>
          <w:tcPr>
            <w:tcW w:w="1240" w:type="dxa"/>
            <w:tcBorders>
              <w:top w:val="single" w:sz="4" w:space="0" w:color="auto"/>
              <w:left w:val="nil"/>
              <w:bottom w:val="single" w:sz="4" w:space="0" w:color="auto"/>
              <w:right w:val="nil"/>
            </w:tcBorders>
            <w:shd w:val="clear" w:color="auto" w:fill="auto"/>
            <w:vAlign w:val="center"/>
            <w:hideMark/>
          </w:tcPr>
          <w:p w14:paraId="62C68BB1"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Total Biomass</w:t>
            </w:r>
          </w:p>
        </w:tc>
      </w:tr>
      <w:tr w:rsidR="00022387" w:rsidRPr="00022387" w14:paraId="2498BFE9" w14:textId="77777777" w:rsidTr="00022387">
        <w:trPr>
          <w:trHeight w:val="300"/>
          <w:jc w:val="center"/>
        </w:trPr>
        <w:tc>
          <w:tcPr>
            <w:tcW w:w="1120" w:type="dxa"/>
            <w:tcBorders>
              <w:top w:val="nil"/>
              <w:left w:val="nil"/>
              <w:bottom w:val="nil"/>
              <w:right w:val="nil"/>
            </w:tcBorders>
            <w:shd w:val="clear" w:color="auto" w:fill="auto"/>
            <w:vAlign w:val="center"/>
            <w:hideMark/>
          </w:tcPr>
          <w:p w14:paraId="2C0D6C9E"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2005</w:t>
            </w:r>
          </w:p>
        </w:tc>
        <w:tc>
          <w:tcPr>
            <w:tcW w:w="1360" w:type="dxa"/>
            <w:tcBorders>
              <w:top w:val="nil"/>
              <w:left w:val="nil"/>
              <w:bottom w:val="nil"/>
              <w:right w:val="nil"/>
            </w:tcBorders>
            <w:shd w:val="clear" w:color="auto" w:fill="auto"/>
            <w:noWrap/>
            <w:vAlign w:val="center"/>
            <w:hideMark/>
          </w:tcPr>
          <w:p w14:paraId="1A0CB00F"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NA</w:t>
            </w:r>
          </w:p>
        </w:tc>
        <w:tc>
          <w:tcPr>
            <w:tcW w:w="1360" w:type="dxa"/>
            <w:tcBorders>
              <w:top w:val="nil"/>
              <w:left w:val="nil"/>
              <w:bottom w:val="nil"/>
              <w:right w:val="nil"/>
            </w:tcBorders>
            <w:shd w:val="clear" w:color="auto" w:fill="auto"/>
            <w:noWrap/>
            <w:vAlign w:val="center"/>
            <w:hideMark/>
          </w:tcPr>
          <w:p w14:paraId="73CAEDF0"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NA</w:t>
            </w:r>
          </w:p>
        </w:tc>
        <w:tc>
          <w:tcPr>
            <w:tcW w:w="1360" w:type="dxa"/>
            <w:tcBorders>
              <w:top w:val="nil"/>
              <w:left w:val="nil"/>
              <w:bottom w:val="nil"/>
              <w:right w:val="nil"/>
            </w:tcBorders>
            <w:shd w:val="clear" w:color="auto" w:fill="auto"/>
            <w:noWrap/>
            <w:vAlign w:val="center"/>
            <w:hideMark/>
          </w:tcPr>
          <w:p w14:paraId="4B16FCC2"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NA</w:t>
            </w:r>
          </w:p>
        </w:tc>
        <w:tc>
          <w:tcPr>
            <w:tcW w:w="1240" w:type="dxa"/>
            <w:tcBorders>
              <w:top w:val="nil"/>
              <w:left w:val="nil"/>
              <w:bottom w:val="nil"/>
              <w:right w:val="nil"/>
            </w:tcBorders>
            <w:shd w:val="clear" w:color="auto" w:fill="auto"/>
            <w:noWrap/>
            <w:vAlign w:val="center"/>
            <w:hideMark/>
          </w:tcPr>
          <w:p w14:paraId="4BEB7FF5"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NA</w:t>
            </w:r>
          </w:p>
        </w:tc>
      </w:tr>
      <w:tr w:rsidR="00022387" w:rsidRPr="00022387" w14:paraId="4820F135"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13070252"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2007</w:t>
            </w:r>
          </w:p>
        </w:tc>
        <w:tc>
          <w:tcPr>
            <w:tcW w:w="1360" w:type="dxa"/>
            <w:tcBorders>
              <w:top w:val="nil"/>
              <w:left w:val="nil"/>
              <w:bottom w:val="nil"/>
              <w:right w:val="nil"/>
            </w:tcBorders>
            <w:shd w:val="clear" w:color="auto" w:fill="auto"/>
            <w:noWrap/>
            <w:vAlign w:val="center"/>
            <w:hideMark/>
          </w:tcPr>
          <w:p w14:paraId="0EF0D1DE"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4.1%</w:t>
            </w:r>
          </w:p>
        </w:tc>
        <w:tc>
          <w:tcPr>
            <w:tcW w:w="1360" w:type="dxa"/>
            <w:tcBorders>
              <w:top w:val="nil"/>
              <w:left w:val="nil"/>
              <w:bottom w:val="nil"/>
              <w:right w:val="nil"/>
            </w:tcBorders>
            <w:shd w:val="clear" w:color="auto" w:fill="auto"/>
            <w:noWrap/>
            <w:vAlign w:val="center"/>
            <w:hideMark/>
          </w:tcPr>
          <w:p w14:paraId="47AFEF77"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-1.5%</w:t>
            </w:r>
          </w:p>
        </w:tc>
        <w:tc>
          <w:tcPr>
            <w:tcW w:w="1360" w:type="dxa"/>
            <w:tcBorders>
              <w:top w:val="nil"/>
              <w:left w:val="nil"/>
              <w:bottom w:val="nil"/>
              <w:right w:val="nil"/>
            </w:tcBorders>
            <w:shd w:val="clear" w:color="auto" w:fill="auto"/>
            <w:noWrap/>
            <w:vAlign w:val="center"/>
            <w:hideMark/>
          </w:tcPr>
          <w:p w14:paraId="43827C73"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1.1%</w:t>
            </w:r>
          </w:p>
        </w:tc>
        <w:tc>
          <w:tcPr>
            <w:tcW w:w="1240" w:type="dxa"/>
            <w:tcBorders>
              <w:top w:val="nil"/>
              <w:left w:val="nil"/>
              <w:bottom w:val="nil"/>
              <w:right w:val="nil"/>
            </w:tcBorders>
            <w:shd w:val="clear" w:color="auto" w:fill="auto"/>
            <w:noWrap/>
            <w:vAlign w:val="center"/>
            <w:hideMark/>
          </w:tcPr>
          <w:p w14:paraId="7FED27E8"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6.1%</w:t>
            </w:r>
          </w:p>
        </w:tc>
      </w:tr>
      <w:tr w:rsidR="00022387" w:rsidRPr="00022387" w14:paraId="54B4F4B8"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32D256E5"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2009</w:t>
            </w:r>
          </w:p>
        </w:tc>
        <w:tc>
          <w:tcPr>
            <w:tcW w:w="1360" w:type="dxa"/>
            <w:tcBorders>
              <w:top w:val="nil"/>
              <w:left w:val="nil"/>
              <w:bottom w:val="nil"/>
              <w:right w:val="nil"/>
            </w:tcBorders>
            <w:shd w:val="clear" w:color="auto" w:fill="auto"/>
            <w:noWrap/>
            <w:vAlign w:val="center"/>
            <w:hideMark/>
          </w:tcPr>
          <w:p w14:paraId="4A5C6476"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5.4%</w:t>
            </w:r>
          </w:p>
        </w:tc>
        <w:tc>
          <w:tcPr>
            <w:tcW w:w="1360" w:type="dxa"/>
            <w:tcBorders>
              <w:top w:val="nil"/>
              <w:left w:val="nil"/>
              <w:bottom w:val="nil"/>
              <w:right w:val="nil"/>
            </w:tcBorders>
            <w:shd w:val="clear" w:color="auto" w:fill="auto"/>
            <w:noWrap/>
            <w:vAlign w:val="center"/>
            <w:hideMark/>
          </w:tcPr>
          <w:p w14:paraId="5586D177"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w:t>
            </w:r>
          </w:p>
        </w:tc>
        <w:tc>
          <w:tcPr>
            <w:tcW w:w="1360" w:type="dxa"/>
            <w:tcBorders>
              <w:top w:val="nil"/>
              <w:left w:val="nil"/>
              <w:bottom w:val="nil"/>
              <w:right w:val="nil"/>
            </w:tcBorders>
            <w:shd w:val="clear" w:color="auto" w:fill="auto"/>
            <w:noWrap/>
            <w:vAlign w:val="center"/>
            <w:hideMark/>
          </w:tcPr>
          <w:p w14:paraId="301EB0D3"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1.2%</w:t>
            </w:r>
          </w:p>
        </w:tc>
        <w:tc>
          <w:tcPr>
            <w:tcW w:w="1240" w:type="dxa"/>
            <w:tcBorders>
              <w:top w:val="nil"/>
              <w:left w:val="nil"/>
              <w:bottom w:val="nil"/>
              <w:right w:val="nil"/>
            </w:tcBorders>
            <w:shd w:val="clear" w:color="auto" w:fill="auto"/>
            <w:noWrap/>
            <w:vAlign w:val="center"/>
            <w:hideMark/>
          </w:tcPr>
          <w:p w14:paraId="24726C64"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2.3%</w:t>
            </w:r>
          </w:p>
        </w:tc>
      </w:tr>
      <w:tr w:rsidR="00022387" w:rsidRPr="00022387" w14:paraId="51C0C1BE"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3D1D201E"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2010</w:t>
            </w:r>
          </w:p>
        </w:tc>
        <w:tc>
          <w:tcPr>
            <w:tcW w:w="1360" w:type="dxa"/>
            <w:tcBorders>
              <w:top w:val="nil"/>
              <w:left w:val="nil"/>
              <w:bottom w:val="nil"/>
              <w:right w:val="nil"/>
            </w:tcBorders>
            <w:shd w:val="clear" w:color="auto" w:fill="auto"/>
            <w:noWrap/>
            <w:vAlign w:val="center"/>
            <w:hideMark/>
          </w:tcPr>
          <w:p w14:paraId="2166009B"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-1.0%</w:t>
            </w:r>
          </w:p>
        </w:tc>
        <w:tc>
          <w:tcPr>
            <w:tcW w:w="1360" w:type="dxa"/>
            <w:tcBorders>
              <w:top w:val="nil"/>
              <w:left w:val="nil"/>
              <w:bottom w:val="nil"/>
              <w:right w:val="nil"/>
            </w:tcBorders>
            <w:shd w:val="clear" w:color="auto" w:fill="auto"/>
            <w:noWrap/>
            <w:vAlign w:val="center"/>
            <w:hideMark/>
          </w:tcPr>
          <w:p w14:paraId="61320EC0"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w:t>
            </w:r>
          </w:p>
        </w:tc>
        <w:tc>
          <w:tcPr>
            <w:tcW w:w="1360" w:type="dxa"/>
            <w:tcBorders>
              <w:top w:val="nil"/>
              <w:left w:val="nil"/>
              <w:bottom w:val="nil"/>
              <w:right w:val="nil"/>
            </w:tcBorders>
            <w:shd w:val="clear" w:color="auto" w:fill="auto"/>
            <w:noWrap/>
            <w:vAlign w:val="center"/>
            <w:hideMark/>
          </w:tcPr>
          <w:p w14:paraId="586CD0C9"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0.1%</w:t>
            </w:r>
          </w:p>
        </w:tc>
        <w:tc>
          <w:tcPr>
            <w:tcW w:w="1240" w:type="dxa"/>
            <w:tcBorders>
              <w:top w:val="nil"/>
              <w:left w:val="nil"/>
              <w:bottom w:val="nil"/>
              <w:right w:val="nil"/>
            </w:tcBorders>
            <w:shd w:val="clear" w:color="auto" w:fill="auto"/>
            <w:noWrap/>
            <w:vAlign w:val="center"/>
            <w:hideMark/>
          </w:tcPr>
          <w:p w14:paraId="6192A495"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2.2%</w:t>
            </w:r>
          </w:p>
        </w:tc>
      </w:tr>
      <w:tr w:rsidR="00022387" w:rsidRPr="00022387" w14:paraId="40779926"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6AD57927"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2012</w:t>
            </w:r>
          </w:p>
        </w:tc>
        <w:tc>
          <w:tcPr>
            <w:tcW w:w="1360" w:type="dxa"/>
            <w:tcBorders>
              <w:top w:val="nil"/>
              <w:left w:val="nil"/>
              <w:bottom w:val="nil"/>
              <w:right w:val="nil"/>
            </w:tcBorders>
            <w:shd w:val="clear" w:color="auto" w:fill="auto"/>
            <w:noWrap/>
            <w:vAlign w:val="center"/>
            <w:hideMark/>
          </w:tcPr>
          <w:p w14:paraId="1A95B2EC"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-4.2%</w:t>
            </w:r>
          </w:p>
        </w:tc>
        <w:tc>
          <w:tcPr>
            <w:tcW w:w="1360" w:type="dxa"/>
            <w:tcBorders>
              <w:top w:val="nil"/>
              <w:left w:val="nil"/>
              <w:bottom w:val="nil"/>
              <w:right w:val="nil"/>
            </w:tcBorders>
            <w:shd w:val="clear" w:color="auto" w:fill="auto"/>
            <w:noWrap/>
            <w:vAlign w:val="center"/>
            <w:hideMark/>
          </w:tcPr>
          <w:p w14:paraId="7BFDD4FB"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4.4%</w:t>
            </w:r>
          </w:p>
        </w:tc>
        <w:tc>
          <w:tcPr>
            <w:tcW w:w="1360" w:type="dxa"/>
            <w:tcBorders>
              <w:top w:val="nil"/>
              <w:left w:val="nil"/>
              <w:bottom w:val="nil"/>
              <w:right w:val="nil"/>
            </w:tcBorders>
            <w:shd w:val="clear" w:color="auto" w:fill="auto"/>
            <w:noWrap/>
            <w:vAlign w:val="center"/>
            <w:hideMark/>
          </w:tcPr>
          <w:p w14:paraId="53E0ABCD"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-0.1%</w:t>
            </w:r>
          </w:p>
        </w:tc>
        <w:tc>
          <w:tcPr>
            <w:tcW w:w="1240" w:type="dxa"/>
            <w:tcBorders>
              <w:top w:val="nil"/>
              <w:left w:val="nil"/>
              <w:bottom w:val="nil"/>
              <w:right w:val="nil"/>
            </w:tcBorders>
            <w:shd w:val="clear" w:color="auto" w:fill="auto"/>
            <w:noWrap/>
            <w:vAlign w:val="center"/>
            <w:hideMark/>
          </w:tcPr>
          <w:p w14:paraId="6D2BB2CF"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4.0%</w:t>
            </w:r>
          </w:p>
        </w:tc>
      </w:tr>
      <w:tr w:rsidR="00022387" w:rsidRPr="00022387" w14:paraId="3043713F"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473B1AA6"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2013</w:t>
            </w:r>
          </w:p>
        </w:tc>
        <w:tc>
          <w:tcPr>
            <w:tcW w:w="1360" w:type="dxa"/>
            <w:tcBorders>
              <w:top w:val="nil"/>
              <w:left w:val="nil"/>
              <w:bottom w:val="nil"/>
              <w:right w:val="nil"/>
            </w:tcBorders>
            <w:shd w:val="clear" w:color="auto" w:fill="auto"/>
            <w:noWrap/>
            <w:vAlign w:val="center"/>
            <w:hideMark/>
          </w:tcPr>
          <w:p w14:paraId="417A35F6"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2.5%</w:t>
            </w:r>
          </w:p>
        </w:tc>
        <w:tc>
          <w:tcPr>
            <w:tcW w:w="1360" w:type="dxa"/>
            <w:tcBorders>
              <w:top w:val="nil"/>
              <w:left w:val="nil"/>
              <w:bottom w:val="nil"/>
              <w:right w:val="nil"/>
            </w:tcBorders>
            <w:shd w:val="clear" w:color="auto" w:fill="auto"/>
            <w:noWrap/>
            <w:vAlign w:val="center"/>
            <w:hideMark/>
          </w:tcPr>
          <w:p w14:paraId="0874E82D"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0.4%</w:t>
            </w:r>
          </w:p>
        </w:tc>
        <w:tc>
          <w:tcPr>
            <w:tcW w:w="1360" w:type="dxa"/>
            <w:tcBorders>
              <w:top w:val="nil"/>
              <w:left w:val="nil"/>
              <w:bottom w:val="nil"/>
              <w:right w:val="nil"/>
            </w:tcBorders>
            <w:shd w:val="clear" w:color="auto" w:fill="auto"/>
            <w:noWrap/>
            <w:vAlign w:val="center"/>
            <w:hideMark/>
          </w:tcPr>
          <w:p w14:paraId="07FBB69B"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1.4%</w:t>
            </w:r>
          </w:p>
        </w:tc>
        <w:tc>
          <w:tcPr>
            <w:tcW w:w="1240" w:type="dxa"/>
            <w:tcBorders>
              <w:top w:val="nil"/>
              <w:left w:val="nil"/>
              <w:bottom w:val="nil"/>
              <w:right w:val="nil"/>
            </w:tcBorders>
            <w:shd w:val="clear" w:color="auto" w:fill="auto"/>
            <w:noWrap/>
            <w:vAlign w:val="center"/>
            <w:hideMark/>
          </w:tcPr>
          <w:p w14:paraId="5E990AE2"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3.8%</w:t>
            </w:r>
          </w:p>
        </w:tc>
      </w:tr>
      <w:tr w:rsidR="00022387" w:rsidRPr="00022387" w14:paraId="67E510E4"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265C3C01"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2014</w:t>
            </w:r>
          </w:p>
        </w:tc>
        <w:tc>
          <w:tcPr>
            <w:tcW w:w="1360" w:type="dxa"/>
            <w:tcBorders>
              <w:top w:val="nil"/>
              <w:left w:val="nil"/>
              <w:bottom w:val="nil"/>
              <w:right w:val="nil"/>
            </w:tcBorders>
            <w:shd w:val="clear" w:color="auto" w:fill="auto"/>
            <w:noWrap/>
            <w:vAlign w:val="center"/>
            <w:hideMark/>
          </w:tcPr>
          <w:p w14:paraId="3B76BC18"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-5.1%</w:t>
            </w:r>
          </w:p>
        </w:tc>
        <w:tc>
          <w:tcPr>
            <w:tcW w:w="1360" w:type="dxa"/>
            <w:tcBorders>
              <w:top w:val="nil"/>
              <w:left w:val="nil"/>
              <w:bottom w:val="nil"/>
              <w:right w:val="nil"/>
            </w:tcBorders>
            <w:shd w:val="clear" w:color="auto" w:fill="auto"/>
            <w:noWrap/>
            <w:vAlign w:val="center"/>
            <w:hideMark/>
          </w:tcPr>
          <w:p w14:paraId="551AB45E"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-0.6%</w:t>
            </w:r>
          </w:p>
        </w:tc>
        <w:tc>
          <w:tcPr>
            <w:tcW w:w="1360" w:type="dxa"/>
            <w:tcBorders>
              <w:top w:val="nil"/>
              <w:left w:val="nil"/>
              <w:bottom w:val="nil"/>
              <w:right w:val="nil"/>
            </w:tcBorders>
            <w:shd w:val="clear" w:color="auto" w:fill="auto"/>
            <w:noWrap/>
            <w:vAlign w:val="center"/>
            <w:hideMark/>
          </w:tcPr>
          <w:p w14:paraId="7C865735"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-2.7%</w:t>
            </w:r>
          </w:p>
        </w:tc>
        <w:tc>
          <w:tcPr>
            <w:tcW w:w="1240" w:type="dxa"/>
            <w:tcBorders>
              <w:top w:val="nil"/>
              <w:left w:val="nil"/>
              <w:bottom w:val="nil"/>
              <w:right w:val="nil"/>
            </w:tcBorders>
            <w:shd w:val="clear" w:color="auto" w:fill="auto"/>
            <w:noWrap/>
            <w:vAlign w:val="center"/>
            <w:hideMark/>
          </w:tcPr>
          <w:p w14:paraId="48CC7D05"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-2.8%</w:t>
            </w:r>
          </w:p>
        </w:tc>
      </w:tr>
      <w:tr w:rsidR="00022387" w:rsidRPr="00022387" w14:paraId="7E0767FF"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59C5E021"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2018</w:t>
            </w:r>
          </w:p>
        </w:tc>
        <w:tc>
          <w:tcPr>
            <w:tcW w:w="1360" w:type="dxa"/>
            <w:tcBorders>
              <w:top w:val="nil"/>
              <w:left w:val="nil"/>
              <w:bottom w:val="nil"/>
              <w:right w:val="nil"/>
            </w:tcBorders>
            <w:shd w:val="clear" w:color="auto" w:fill="auto"/>
            <w:noWrap/>
            <w:vAlign w:val="center"/>
            <w:hideMark/>
          </w:tcPr>
          <w:p w14:paraId="17344202"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-6.5%</w:t>
            </w:r>
          </w:p>
        </w:tc>
        <w:tc>
          <w:tcPr>
            <w:tcW w:w="1360" w:type="dxa"/>
            <w:tcBorders>
              <w:top w:val="nil"/>
              <w:left w:val="nil"/>
              <w:bottom w:val="nil"/>
              <w:right w:val="nil"/>
            </w:tcBorders>
            <w:shd w:val="clear" w:color="auto" w:fill="auto"/>
            <w:noWrap/>
            <w:vAlign w:val="center"/>
            <w:hideMark/>
          </w:tcPr>
          <w:p w14:paraId="4AD50F68"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2.2%</w:t>
            </w:r>
          </w:p>
        </w:tc>
        <w:tc>
          <w:tcPr>
            <w:tcW w:w="1360" w:type="dxa"/>
            <w:tcBorders>
              <w:top w:val="nil"/>
              <w:left w:val="nil"/>
              <w:bottom w:val="nil"/>
              <w:right w:val="nil"/>
            </w:tcBorders>
            <w:shd w:val="clear" w:color="auto" w:fill="auto"/>
            <w:noWrap/>
            <w:vAlign w:val="center"/>
            <w:hideMark/>
          </w:tcPr>
          <w:p w14:paraId="6ABCE9F6"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-2.2%</w:t>
            </w:r>
          </w:p>
        </w:tc>
        <w:tc>
          <w:tcPr>
            <w:tcW w:w="1240" w:type="dxa"/>
            <w:tcBorders>
              <w:top w:val="nil"/>
              <w:left w:val="nil"/>
              <w:bottom w:val="nil"/>
              <w:right w:val="nil"/>
            </w:tcBorders>
            <w:shd w:val="clear" w:color="auto" w:fill="auto"/>
            <w:noWrap/>
            <w:vAlign w:val="center"/>
            <w:hideMark/>
          </w:tcPr>
          <w:p w14:paraId="6C6872C2"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-0.5%</w:t>
            </w:r>
          </w:p>
        </w:tc>
      </w:tr>
      <w:tr w:rsidR="00022387" w:rsidRPr="00022387" w14:paraId="1E3B94D4" w14:textId="77777777" w:rsidTr="00022387">
        <w:trPr>
          <w:trHeight w:val="300"/>
          <w:jc w:val="center"/>
        </w:trPr>
        <w:tc>
          <w:tcPr>
            <w:tcW w:w="1120" w:type="dxa"/>
            <w:tcBorders>
              <w:top w:val="single" w:sz="4" w:space="0" w:color="auto"/>
              <w:left w:val="nil"/>
              <w:bottom w:val="single" w:sz="4" w:space="0" w:color="auto"/>
              <w:right w:val="nil"/>
            </w:tcBorders>
            <w:shd w:val="clear" w:color="auto" w:fill="auto"/>
            <w:noWrap/>
            <w:vAlign w:val="bottom"/>
            <w:hideMark/>
          </w:tcPr>
          <w:p w14:paraId="7D2D94A6" w14:textId="77777777" w:rsidR="00022387" w:rsidRPr="00022387" w:rsidRDefault="00022387" w:rsidP="00022387">
            <w:pPr>
              <w:spacing w:after="0" w:line="240" w:lineRule="auto"/>
              <w:jc w:val="right"/>
              <w:rPr>
                <w:rFonts w:ascii="Calibri" w:eastAsia="Times New Roman" w:hAnsi="Calibri" w:cs="Calibri"/>
                <w:color w:val="000000"/>
              </w:rPr>
            </w:pPr>
            <w:r w:rsidRPr="00022387">
              <w:rPr>
                <w:rFonts w:ascii="Calibri" w:eastAsia="Times New Roman" w:hAnsi="Calibri" w:cs="Calibri"/>
                <w:color w:val="000000"/>
              </w:rPr>
              <w:t>Average</w:t>
            </w:r>
          </w:p>
        </w:tc>
        <w:tc>
          <w:tcPr>
            <w:tcW w:w="1360" w:type="dxa"/>
            <w:tcBorders>
              <w:top w:val="single" w:sz="4" w:space="0" w:color="auto"/>
              <w:left w:val="nil"/>
              <w:bottom w:val="single" w:sz="4" w:space="0" w:color="auto"/>
              <w:right w:val="nil"/>
            </w:tcBorders>
            <w:shd w:val="clear" w:color="auto" w:fill="auto"/>
            <w:noWrap/>
            <w:vAlign w:val="bottom"/>
            <w:hideMark/>
          </w:tcPr>
          <w:p w14:paraId="58AC9D9D"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-0.7%</w:t>
            </w:r>
          </w:p>
        </w:tc>
        <w:tc>
          <w:tcPr>
            <w:tcW w:w="1360" w:type="dxa"/>
            <w:tcBorders>
              <w:top w:val="single" w:sz="4" w:space="0" w:color="auto"/>
              <w:left w:val="nil"/>
              <w:bottom w:val="single" w:sz="4" w:space="0" w:color="auto"/>
              <w:right w:val="nil"/>
            </w:tcBorders>
            <w:shd w:val="clear" w:color="auto" w:fill="auto"/>
            <w:noWrap/>
            <w:vAlign w:val="bottom"/>
            <w:hideMark/>
          </w:tcPr>
          <w:p w14:paraId="71276CDE"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0.7%</w:t>
            </w:r>
          </w:p>
        </w:tc>
        <w:tc>
          <w:tcPr>
            <w:tcW w:w="1360" w:type="dxa"/>
            <w:tcBorders>
              <w:top w:val="single" w:sz="4" w:space="0" w:color="auto"/>
              <w:left w:val="nil"/>
              <w:bottom w:val="single" w:sz="4" w:space="0" w:color="auto"/>
              <w:right w:val="nil"/>
            </w:tcBorders>
            <w:shd w:val="clear" w:color="auto" w:fill="auto"/>
            <w:noWrap/>
            <w:vAlign w:val="bottom"/>
            <w:hideMark/>
          </w:tcPr>
          <w:p w14:paraId="108882E1"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-0.2%</w:t>
            </w:r>
          </w:p>
        </w:tc>
        <w:tc>
          <w:tcPr>
            <w:tcW w:w="1240" w:type="dxa"/>
            <w:tcBorders>
              <w:top w:val="single" w:sz="4" w:space="0" w:color="auto"/>
              <w:left w:val="nil"/>
              <w:bottom w:val="single" w:sz="4" w:space="0" w:color="auto"/>
              <w:right w:val="nil"/>
            </w:tcBorders>
            <w:shd w:val="clear" w:color="auto" w:fill="auto"/>
            <w:noWrap/>
            <w:vAlign w:val="bottom"/>
            <w:hideMark/>
          </w:tcPr>
          <w:p w14:paraId="60119986"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2.2%</w:t>
            </w:r>
          </w:p>
        </w:tc>
      </w:tr>
    </w:tbl>
    <w:p w14:paraId="5A76BA35" w14:textId="77777777" w:rsidR="00293FEA" w:rsidRPr="00293FEA" w:rsidRDefault="00293FEA" w:rsidP="00293FEA">
      <w:pPr>
        <w:spacing w:after="0"/>
        <w:rPr>
          <w:rFonts w:ascii="Times New Roman" w:hAnsi="Times New Roman" w:cs="Times New Roman"/>
          <w:sz w:val="24"/>
        </w:rPr>
      </w:pPr>
    </w:p>
    <w:p w14:paraId="456E00A0" w14:textId="3D5D64BA" w:rsidR="00C971E6" w:rsidRDefault="00422757" w:rsidP="00293FEA">
      <w:pPr>
        <w:spacing w:after="0"/>
        <w:rPr>
          <w:rFonts w:ascii="Times New Roman" w:hAnsi="Times New Roman" w:cs="Times New Roman"/>
          <w:sz w:val="24"/>
        </w:rPr>
      </w:pPr>
      <w:r>
        <w:rPr>
          <w:rFonts w:ascii="Times New Roman" w:hAnsi="Times New Roman" w:cs="Times New Roman"/>
          <w:sz w:val="24"/>
        </w:rPr>
        <w:t xml:space="preserve">Fish growth </w:t>
      </w:r>
      <w:r w:rsidR="003462DD">
        <w:rPr>
          <w:rFonts w:ascii="Times New Roman" w:hAnsi="Times New Roman" w:cs="Times New Roman"/>
          <w:sz w:val="24"/>
        </w:rPr>
        <w:t xml:space="preserve">integrates many factors, including </w:t>
      </w:r>
      <w:r w:rsidR="0019186A">
        <w:rPr>
          <w:rFonts w:ascii="Times New Roman" w:hAnsi="Times New Roman" w:cs="Times New Roman"/>
          <w:sz w:val="24"/>
        </w:rPr>
        <w:t xml:space="preserve">food consumption, temperature, metabolic and physical demand, </w:t>
      </w:r>
      <w:r w:rsidR="003F44F2">
        <w:rPr>
          <w:rFonts w:ascii="Times New Roman" w:hAnsi="Times New Roman" w:cs="Times New Roman"/>
          <w:sz w:val="24"/>
        </w:rPr>
        <w:t xml:space="preserve">fish density, competition, and other factors. </w:t>
      </w:r>
      <w:r w:rsidR="008C5E9F">
        <w:rPr>
          <w:rFonts w:ascii="Times New Roman" w:hAnsi="Times New Roman" w:cs="Times New Roman"/>
          <w:sz w:val="24"/>
        </w:rPr>
        <w:t xml:space="preserve">Reducing temperature suppression of growth in the spring due to elevated dam releases is a primary objective of the </w:t>
      </w:r>
      <w:r w:rsidR="00E33D1A">
        <w:rPr>
          <w:rFonts w:ascii="Times New Roman" w:hAnsi="Times New Roman" w:cs="Times New Roman"/>
          <w:sz w:val="24"/>
        </w:rPr>
        <w:t>WVF</w:t>
      </w:r>
      <w:r w:rsidR="002A64EB">
        <w:rPr>
          <w:rFonts w:ascii="Times New Roman" w:hAnsi="Times New Roman" w:cs="Times New Roman"/>
          <w:sz w:val="24"/>
        </w:rPr>
        <w:t xml:space="preserve">. While the S3 model incorporates the effects of temperature on growth, among several other factors, Abel et al. (2022) </w:t>
      </w:r>
      <w:r w:rsidR="00877B5F">
        <w:rPr>
          <w:rFonts w:ascii="Times New Roman" w:hAnsi="Times New Roman" w:cs="Times New Roman"/>
          <w:sz w:val="24"/>
        </w:rPr>
        <w:t xml:space="preserve">isolated the </w:t>
      </w:r>
      <w:r w:rsidR="006D3CF8">
        <w:rPr>
          <w:rFonts w:ascii="Times New Roman" w:hAnsi="Times New Roman" w:cs="Times New Roman"/>
          <w:sz w:val="24"/>
        </w:rPr>
        <w:t xml:space="preserve">effects of temperature by combining modeled water temperatures from RBM10 with </w:t>
      </w:r>
      <w:r w:rsidR="00FD2B58">
        <w:rPr>
          <w:rFonts w:ascii="Times New Roman" w:hAnsi="Times New Roman" w:cs="Times New Roman"/>
          <w:sz w:val="24"/>
        </w:rPr>
        <w:t>a fish growth model</w:t>
      </w:r>
      <w:r w:rsidR="00A91BDF">
        <w:rPr>
          <w:rFonts w:ascii="Times New Roman" w:hAnsi="Times New Roman" w:cs="Times New Roman"/>
          <w:sz w:val="24"/>
        </w:rPr>
        <w:t xml:space="preserve">, assuming a constant food ration of </w:t>
      </w:r>
      <w:r w:rsidR="00E230BB">
        <w:rPr>
          <w:rFonts w:ascii="Times New Roman" w:hAnsi="Times New Roman" w:cs="Times New Roman"/>
          <w:sz w:val="24"/>
        </w:rPr>
        <w:t>two-thirds of the maximum consumption rate.</w:t>
      </w:r>
      <w:r w:rsidR="00396B5E">
        <w:rPr>
          <w:rFonts w:ascii="Times New Roman" w:hAnsi="Times New Roman" w:cs="Times New Roman"/>
          <w:sz w:val="24"/>
        </w:rPr>
        <w:t xml:space="preserve"> The result is the </w:t>
      </w:r>
      <w:r w:rsidR="00433A03">
        <w:rPr>
          <w:rFonts w:ascii="Times New Roman" w:hAnsi="Times New Roman" w:cs="Times New Roman"/>
          <w:sz w:val="24"/>
        </w:rPr>
        <w:t xml:space="preserve">average mass of </w:t>
      </w:r>
      <w:r w:rsidR="00560EF7">
        <w:rPr>
          <w:rFonts w:ascii="Times New Roman" w:hAnsi="Times New Roman" w:cs="Times New Roman"/>
          <w:sz w:val="24"/>
        </w:rPr>
        <w:t xml:space="preserve">an individual </w:t>
      </w:r>
      <w:r w:rsidR="00433A03">
        <w:rPr>
          <w:rFonts w:ascii="Times New Roman" w:hAnsi="Times New Roman" w:cs="Times New Roman"/>
          <w:sz w:val="24"/>
        </w:rPr>
        <w:t>fish at the end of June</w:t>
      </w:r>
      <w:r w:rsidR="00E77A36">
        <w:rPr>
          <w:rFonts w:ascii="Times New Roman" w:hAnsi="Times New Roman" w:cs="Times New Roman"/>
          <w:sz w:val="24"/>
        </w:rPr>
        <w:t xml:space="preserve"> if it had reared near the lower extent of the restoration reach prior</w:t>
      </w:r>
      <w:r w:rsidR="00423EBA">
        <w:rPr>
          <w:rFonts w:ascii="Times New Roman" w:hAnsi="Times New Roman" w:cs="Times New Roman"/>
          <w:sz w:val="24"/>
        </w:rPr>
        <w:t>.</w:t>
      </w:r>
    </w:p>
    <w:p w14:paraId="2936D169" w14:textId="77777777" w:rsidR="00C971E6" w:rsidRDefault="00C971E6" w:rsidP="00293FEA">
      <w:pPr>
        <w:spacing w:after="0"/>
        <w:rPr>
          <w:rFonts w:ascii="Times New Roman" w:hAnsi="Times New Roman" w:cs="Times New Roman"/>
          <w:sz w:val="24"/>
        </w:rPr>
      </w:pPr>
    </w:p>
    <w:p w14:paraId="26B1D473" w14:textId="4BB99FA1" w:rsidR="00423EBA" w:rsidRPr="00293FEA" w:rsidRDefault="00423EBA" w:rsidP="00423EBA">
      <w:pPr>
        <w:spacing w:after="0"/>
        <w:rPr>
          <w:rFonts w:ascii="Times New Roman" w:hAnsi="Times New Roman" w:cs="Times New Roman"/>
          <w:sz w:val="24"/>
        </w:rPr>
      </w:pPr>
      <w:r w:rsidRPr="00293FEA">
        <w:rPr>
          <w:rFonts w:ascii="Times New Roman" w:hAnsi="Times New Roman" w:cs="Times New Roman"/>
          <w:sz w:val="24"/>
        </w:rPr>
        <w:t xml:space="preserve">The </w:t>
      </w:r>
      <w:r w:rsidR="00E95670">
        <w:rPr>
          <w:rFonts w:ascii="Times New Roman" w:hAnsi="Times New Roman" w:cs="Times New Roman"/>
          <w:sz w:val="24"/>
        </w:rPr>
        <w:t>WVF</w:t>
      </w:r>
      <w:r w:rsidRPr="00293FEA">
        <w:rPr>
          <w:rFonts w:ascii="Times New Roman" w:hAnsi="Times New Roman" w:cs="Times New Roman"/>
          <w:sz w:val="24"/>
        </w:rPr>
        <w:t xml:space="preserve"> </w:t>
      </w:r>
      <w:r w:rsidR="00E77A36">
        <w:rPr>
          <w:rFonts w:ascii="Times New Roman" w:hAnsi="Times New Roman" w:cs="Times New Roman"/>
          <w:sz w:val="24"/>
        </w:rPr>
        <w:t xml:space="preserve">project </w:t>
      </w:r>
      <w:r w:rsidRPr="00293FEA">
        <w:rPr>
          <w:rFonts w:ascii="Times New Roman" w:hAnsi="Times New Roman" w:cs="Times New Roman"/>
          <w:sz w:val="24"/>
        </w:rPr>
        <w:t>would result in greater end-of-June Chinook Salmon mass than baseline conditions (</w:t>
      </w:r>
      <w:r w:rsidRPr="00293FEA">
        <w:rPr>
          <w:rFonts w:ascii="Times New Roman" w:hAnsi="Times New Roman" w:cs="Times New Roman"/>
          <w:sz w:val="24"/>
        </w:rPr>
        <w:fldChar w:fldCharType="begin"/>
      </w:r>
      <w:r w:rsidRPr="00293FEA">
        <w:rPr>
          <w:rFonts w:ascii="Times New Roman" w:hAnsi="Times New Roman" w:cs="Times New Roman"/>
          <w:sz w:val="24"/>
        </w:rPr>
        <w:instrText xml:space="preserve"> REF _Ref155775176 \h  \* MERGEFORMAT </w:instrText>
      </w:r>
      <w:r w:rsidRPr="00293FEA">
        <w:rPr>
          <w:rFonts w:ascii="Times New Roman" w:hAnsi="Times New Roman" w:cs="Times New Roman"/>
          <w:sz w:val="24"/>
        </w:rPr>
      </w:r>
      <w:r w:rsidRPr="00293FEA">
        <w:rPr>
          <w:rFonts w:ascii="Times New Roman" w:hAnsi="Times New Roman" w:cs="Times New Roman"/>
          <w:sz w:val="24"/>
        </w:rPr>
        <w:fldChar w:fldCharType="separate"/>
      </w:r>
      <w:r w:rsidRPr="00293FEA">
        <w:rPr>
          <w:rFonts w:ascii="Times New Roman" w:hAnsi="Times New Roman" w:cs="Times New Roman"/>
          <w:sz w:val="24"/>
        </w:rPr>
        <w:t xml:space="preserve">Table </w:t>
      </w:r>
      <w:r w:rsidRPr="00293FEA">
        <w:rPr>
          <w:rFonts w:ascii="Times New Roman" w:hAnsi="Times New Roman" w:cs="Times New Roman"/>
          <w:sz w:val="24"/>
        </w:rPr>
        <w:fldChar w:fldCharType="end"/>
      </w:r>
      <w:r>
        <w:rPr>
          <w:rFonts w:ascii="Times New Roman" w:hAnsi="Times New Roman" w:cs="Times New Roman"/>
          <w:sz w:val="24"/>
        </w:rPr>
        <w:t>4</w:t>
      </w:r>
      <w:r w:rsidRPr="00293FEA">
        <w:rPr>
          <w:rFonts w:ascii="Times New Roman" w:hAnsi="Times New Roman" w:cs="Times New Roman"/>
          <w:sz w:val="24"/>
        </w:rPr>
        <w:t xml:space="preserve">). </w:t>
      </w:r>
      <w:r w:rsidR="00015849">
        <w:rPr>
          <w:rFonts w:ascii="Times New Roman" w:hAnsi="Times New Roman" w:cs="Times New Roman"/>
          <w:sz w:val="24"/>
        </w:rPr>
        <w:t xml:space="preserve">Increases in </w:t>
      </w:r>
      <w:r w:rsidR="00E77A36">
        <w:rPr>
          <w:rFonts w:ascii="Times New Roman" w:hAnsi="Times New Roman" w:cs="Times New Roman"/>
          <w:sz w:val="24"/>
        </w:rPr>
        <w:t>mass</w:t>
      </w:r>
      <w:r w:rsidR="00E77A36" w:rsidRPr="00293FEA">
        <w:rPr>
          <w:rFonts w:ascii="Times New Roman" w:hAnsi="Times New Roman" w:cs="Times New Roman"/>
          <w:sz w:val="24"/>
        </w:rPr>
        <w:t xml:space="preserve"> </w:t>
      </w:r>
      <w:r w:rsidRPr="00293FEA">
        <w:rPr>
          <w:rFonts w:ascii="Times New Roman" w:hAnsi="Times New Roman" w:cs="Times New Roman"/>
          <w:sz w:val="24"/>
        </w:rPr>
        <w:t>ranged from 1.1</w:t>
      </w:r>
      <w:r w:rsidR="00015849">
        <w:rPr>
          <w:rFonts w:ascii="Times New Roman" w:hAnsi="Times New Roman" w:cs="Times New Roman"/>
          <w:sz w:val="24"/>
        </w:rPr>
        <w:t xml:space="preserve"> </w:t>
      </w:r>
      <w:r w:rsidRPr="00293FEA">
        <w:rPr>
          <w:rFonts w:ascii="Times New Roman" w:hAnsi="Times New Roman" w:cs="Times New Roman"/>
          <w:sz w:val="24"/>
        </w:rPr>
        <w:t>g to 1.7</w:t>
      </w:r>
      <w:r w:rsidR="00015849">
        <w:rPr>
          <w:rFonts w:ascii="Times New Roman" w:hAnsi="Times New Roman" w:cs="Times New Roman"/>
          <w:sz w:val="24"/>
        </w:rPr>
        <w:t xml:space="preserve"> </w:t>
      </w:r>
      <w:r w:rsidRPr="00293FEA">
        <w:rPr>
          <w:rFonts w:ascii="Times New Roman" w:hAnsi="Times New Roman" w:cs="Times New Roman"/>
          <w:sz w:val="24"/>
        </w:rPr>
        <w:t>g</w:t>
      </w:r>
      <w:r w:rsidR="00B96FF3">
        <w:rPr>
          <w:rFonts w:ascii="Times New Roman" w:hAnsi="Times New Roman" w:cs="Times New Roman"/>
          <w:sz w:val="24"/>
        </w:rPr>
        <w:t xml:space="preserve"> (average 1.5 g)</w:t>
      </w:r>
      <w:r w:rsidRPr="00293FEA">
        <w:rPr>
          <w:rFonts w:ascii="Times New Roman" w:hAnsi="Times New Roman" w:cs="Times New Roman"/>
          <w:sz w:val="24"/>
        </w:rPr>
        <w:t xml:space="preserve">. The resulting differences in mass as a percentage of end-of-June Chinook Salmon size ranged from 6.6% to 11.8% </w:t>
      </w:r>
      <w:r w:rsidR="00B96FF3">
        <w:rPr>
          <w:rFonts w:ascii="Times New Roman" w:hAnsi="Times New Roman" w:cs="Times New Roman"/>
          <w:sz w:val="24"/>
        </w:rPr>
        <w:t xml:space="preserve">(average 9.3%) </w:t>
      </w:r>
      <w:r w:rsidRPr="00293FEA">
        <w:rPr>
          <w:rFonts w:ascii="Times New Roman" w:hAnsi="Times New Roman" w:cs="Times New Roman"/>
          <w:sz w:val="24"/>
        </w:rPr>
        <w:t xml:space="preserve">over the </w:t>
      </w:r>
      <w:r w:rsidR="00C3384F">
        <w:rPr>
          <w:rFonts w:ascii="Times New Roman" w:hAnsi="Times New Roman" w:cs="Times New Roman"/>
          <w:sz w:val="24"/>
        </w:rPr>
        <w:t>eight</w:t>
      </w:r>
      <w:r w:rsidRPr="00293FEA">
        <w:rPr>
          <w:rFonts w:ascii="Times New Roman" w:hAnsi="Times New Roman" w:cs="Times New Roman"/>
          <w:sz w:val="24"/>
        </w:rPr>
        <w:t xml:space="preserve"> years evaluated. These results also align with the S3 model results, in general showing larger Chinook Salmon resulting from shifting water into the winter months, because not doing so results in unnaturally cold water that does not warm in a typical seasonal pattern in the spring months.</w:t>
      </w:r>
    </w:p>
    <w:p w14:paraId="39521FD6" w14:textId="77777777" w:rsidR="00293FEA" w:rsidRPr="00293FEA" w:rsidRDefault="00293FEA" w:rsidP="00293FEA">
      <w:pPr>
        <w:spacing w:after="0"/>
        <w:rPr>
          <w:rFonts w:ascii="Times New Roman" w:hAnsi="Times New Roman" w:cs="Times New Roman"/>
          <w:iCs/>
          <w:sz w:val="24"/>
        </w:rPr>
      </w:pPr>
    </w:p>
    <w:p w14:paraId="1E9C297D" w14:textId="42A71BD4" w:rsidR="00293FEA" w:rsidRPr="00293FEA" w:rsidRDefault="00293FEA" w:rsidP="00293FEA">
      <w:pPr>
        <w:spacing w:after="0"/>
        <w:rPr>
          <w:rFonts w:ascii="Times New Roman" w:hAnsi="Times New Roman" w:cs="Times New Roman"/>
          <w:iCs/>
          <w:sz w:val="24"/>
        </w:rPr>
      </w:pPr>
      <w:bookmarkStart w:id="3" w:name="_Ref155775176"/>
      <w:r w:rsidRPr="00293FEA">
        <w:rPr>
          <w:rFonts w:ascii="Times New Roman" w:hAnsi="Times New Roman" w:cs="Times New Roman"/>
          <w:iCs/>
          <w:sz w:val="24"/>
        </w:rPr>
        <w:t xml:space="preserve">Table </w:t>
      </w:r>
      <w:r w:rsidR="00423EBA">
        <w:rPr>
          <w:rFonts w:ascii="Times New Roman" w:hAnsi="Times New Roman" w:cs="Times New Roman"/>
          <w:iCs/>
          <w:sz w:val="24"/>
        </w:rPr>
        <w:t>4</w:t>
      </w:r>
      <w:bookmarkEnd w:id="3"/>
      <w:r w:rsidRPr="00293FEA">
        <w:rPr>
          <w:rFonts w:ascii="Times New Roman" w:hAnsi="Times New Roman" w:cs="Times New Roman"/>
          <w:iCs/>
          <w:sz w:val="24"/>
        </w:rPr>
        <w:t>. End-of-June mass (g), and difference between the proposed Trinity County compromise and the baseline conditions (Abel et al. 2022).</w:t>
      </w:r>
    </w:p>
    <w:tbl>
      <w:tblPr>
        <w:tblW w:w="8180" w:type="dxa"/>
        <w:jc w:val="center"/>
        <w:tblLook w:val="04A0" w:firstRow="1" w:lastRow="0" w:firstColumn="1" w:lastColumn="0" w:noHBand="0" w:noVBand="1"/>
      </w:tblPr>
      <w:tblGrid>
        <w:gridCol w:w="1120"/>
        <w:gridCol w:w="2380"/>
        <w:gridCol w:w="1780"/>
        <w:gridCol w:w="1420"/>
        <w:gridCol w:w="1480"/>
      </w:tblGrid>
      <w:tr w:rsidR="00022387" w:rsidRPr="00022387" w14:paraId="3FCFAE8C" w14:textId="77777777" w:rsidTr="00022387">
        <w:trPr>
          <w:trHeight w:val="630"/>
          <w:jc w:val="center"/>
        </w:trPr>
        <w:tc>
          <w:tcPr>
            <w:tcW w:w="1120" w:type="dxa"/>
            <w:tcBorders>
              <w:top w:val="single" w:sz="4" w:space="0" w:color="auto"/>
              <w:left w:val="nil"/>
              <w:bottom w:val="single" w:sz="4" w:space="0" w:color="auto"/>
              <w:right w:val="nil"/>
            </w:tcBorders>
            <w:shd w:val="clear" w:color="auto" w:fill="auto"/>
            <w:vAlign w:val="center"/>
            <w:hideMark/>
          </w:tcPr>
          <w:p w14:paraId="2E78CD84"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Water Year</w:t>
            </w:r>
          </w:p>
        </w:tc>
        <w:tc>
          <w:tcPr>
            <w:tcW w:w="2380" w:type="dxa"/>
            <w:tcBorders>
              <w:top w:val="single" w:sz="4" w:space="0" w:color="auto"/>
              <w:left w:val="nil"/>
              <w:bottom w:val="single" w:sz="4" w:space="0" w:color="auto"/>
              <w:right w:val="nil"/>
            </w:tcBorders>
            <w:shd w:val="clear" w:color="auto" w:fill="auto"/>
            <w:vAlign w:val="center"/>
            <w:hideMark/>
          </w:tcPr>
          <w:p w14:paraId="6B710B6E"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Mass (g)</w:t>
            </w:r>
            <w:r w:rsidRPr="00022387">
              <w:rPr>
                <w:rFonts w:ascii="Calibri" w:eastAsia="Times New Roman" w:hAnsi="Calibri" w:cs="Calibri"/>
                <w:color w:val="000000"/>
              </w:rPr>
              <w:br/>
              <w:t>Proposed Compromise</w:t>
            </w:r>
          </w:p>
        </w:tc>
        <w:tc>
          <w:tcPr>
            <w:tcW w:w="1780" w:type="dxa"/>
            <w:tcBorders>
              <w:top w:val="single" w:sz="4" w:space="0" w:color="auto"/>
              <w:left w:val="nil"/>
              <w:bottom w:val="single" w:sz="4" w:space="0" w:color="auto"/>
              <w:right w:val="nil"/>
            </w:tcBorders>
            <w:shd w:val="clear" w:color="auto" w:fill="auto"/>
            <w:vAlign w:val="center"/>
            <w:hideMark/>
          </w:tcPr>
          <w:p w14:paraId="6AD069ED"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Mass (g)</w:t>
            </w:r>
            <w:r w:rsidRPr="00022387">
              <w:rPr>
                <w:rFonts w:ascii="Calibri" w:eastAsia="Times New Roman" w:hAnsi="Calibri" w:cs="Calibri"/>
                <w:color w:val="000000"/>
              </w:rPr>
              <w:br/>
              <w:t xml:space="preserve">baseline </w:t>
            </w:r>
          </w:p>
        </w:tc>
        <w:tc>
          <w:tcPr>
            <w:tcW w:w="1420" w:type="dxa"/>
            <w:tcBorders>
              <w:top w:val="single" w:sz="4" w:space="0" w:color="auto"/>
              <w:left w:val="nil"/>
              <w:bottom w:val="single" w:sz="4" w:space="0" w:color="auto"/>
              <w:right w:val="nil"/>
            </w:tcBorders>
            <w:shd w:val="clear" w:color="auto" w:fill="auto"/>
            <w:vAlign w:val="center"/>
            <w:hideMark/>
          </w:tcPr>
          <w:p w14:paraId="587CA9C0"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Difference (g)</w:t>
            </w:r>
          </w:p>
        </w:tc>
        <w:tc>
          <w:tcPr>
            <w:tcW w:w="1480" w:type="dxa"/>
            <w:tcBorders>
              <w:top w:val="single" w:sz="4" w:space="0" w:color="auto"/>
              <w:left w:val="nil"/>
              <w:bottom w:val="single" w:sz="4" w:space="0" w:color="auto"/>
              <w:right w:val="nil"/>
            </w:tcBorders>
            <w:shd w:val="clear" w:color="auto" w:fill="auto"/>
            <w:vAlign w:val="center"/>
            <w:hideMark/>
          </w:tcPr>
          <w:p w14:paraId="4188FFF2"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Difference (%)</w:t>
            </w:r>
          </w:p>
        </w:tc>
      </w:tr>
      <w:tr w:rsidR="00022387" w:rsidRPr="00022387" w14:paraId="4F4C458F"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1D67FD37"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2005</w:t>
            </w:r>
          </w:p>
        </w:tc>
        <w:tc>
          <w:tcPr>
            <w:tcW w:w="2380" w:type="dxa"/>
            <w:tcBorders>
              <w:top w:val="nil"/>
              <w:left w:val="nil"/>
              <w:bottom w:val="nil"/>
              <w:right w:val="nil"/>
            </w:tcBorders>
            <w:shd w:val="clear" w:color="auto" w:fill="auto"/>
            <w:noWrap/>
            <w:vAlign w:val="center"/>
            <w:hideMark/>
          </w:tcPr>
          <w:p w14:paraId="3969DDFB"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14.7</w:t>
            </w:r>
          </w:p>
        </w:tc>
        <w:tc>
          <w:tcPr>
            <w:tcW w:w="1780" w:type="dxa"/>
            <w:tcBorders>
              <w:top w:val="nil"/>
              <w:left w:val="nil"/>
              <w:bottom w:val="nil"/>
              <w:right w:val="nil"/>
            </w:tcBorders>
            <w:shd w:val="clear" w:color="auto" w:fill="auto"/>
            <w:noWrap/>
            <w:vAlign w:val="center"/>
            <w:hideMark/>
          </w:tcPr>
          <w:p w14:paraId="2D75A619"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13.1</w:t>
            </w:r>
          </w:p>
        </w:tc>
        <w:tc>
          <w:tcPr>
            <w:tcW w:w="1420" w:type="dxa"/>
            <w:tcBorders>
              <w:top w:val="nil"/>
              <w:left w:val="nil"/>
              <w:bottom w:val="nil"/>
              <w:right w:val="nil"/>
            </w:tcBorders>
            <w:shd w:val="clear" w:color="auto" w:fill="auto"/>
            <w:noWrap/>
            <w:vAlign w:val="center"/>
            <w:hideMark/>
          </w:tcPr>
          <w:p w14:paraId="1571E49A"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1.6</w:t>
            </w:r>
          </w:p>
        </w:tc>
        <w:tc>
          <w:tcPr>
            <w:tcW w:w="1480" w:type="dxa"/>
            <w:tcBorders>
              <w:top w:val="nil"/>
              <w:left w:val="nil"/>
              <w:bottom w:val="nil"/>
              <w:right w:val="nil"/>
            </w:tcBorders>
            <w:shd w:val="clear" w:color="auto" w:fill="auto"/>
            <w:noWrap/>
            <w:vAlign w:val="center"/>
            <w:hideMark/>
          </w:tcPr>
          <w:p w14:paraId="4D5BA16A"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11.1</w:t>
            </w:r>
          </w:p>
        </w:tc>
      </w:tr>
      <w:tr w:rsidR="00022387" w:rsidRPr="00022387" w14:paraId="6E560AED"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3C1567ED"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2007</w:t>
            </w:r>
          </w:p>
        </w:tc>
        <w:tc>
          <w:tcPr>
            <w:tcW w:w="2380" w:type="dxa"/>
            <w:tcBorders>
              <w:top w:val="nil"/>
              <w:left w:val="nil"/>
              <w:bottom w:val="nil"/>
              <w:right w:val="nil"/>
            </w:tcBorders>
            <w:shd w:val="clear" w:color="auto" w:fill="auto"/>
            <w:noWrap/>
            <w:vAlign w:val="center"/>
            <w:hideMark/>
          </w:tcPr>
          <w:p w14:paraId="1C40B4EF"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17.2</w:t>
            </w:r>
          </w:p>
        </w:tc>
        <w:tc>
          <w:tcPr>
            <w:tcW w:w="1780" w:type="dxa"/>
            <w:tcBorders>
              <w:top w:val="nil"/>
              <w:left w:val="nil"/>
              <w:bottom w:val="nil"/>
              <w:right w:val="nil"/>
            </w:tcBorders>
            <w:shd w:val="clear" w:color="auto" w:fill="auto"/>
            <w:noWrap/>
            <w:vAlign w:val="center"/>
            <w:hideMark/>
          </w:tcPr>
          <w:p w14:paraId="7969F363"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15.5</w:t>
            </w:r>
          </w:p>
        </w:tc>
        <w:tc>
          <w:tcPr>
            <w:tcW w:w="1420" w:type="dxa"/>
            <w:tcBorders>
              <w:top w:val="nil"/>
              <w:left w:val="nil"/>
              <w:bottom w:val="nil"/>
              <w:right w:val="nil"/>
            </w:tcBorders>
            <w:shd w:val="clear" w:color="auto" w:fill="auto"/>
            <w:noWrap/>
            <w:vAlign w:val="center"/>
            <w:hideMark/>
          </w:tcPr>
          <w:p w14:paraId="70AB1080"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1.7</w:t>
            </w:r>
          </w:p>
        </w:tc>
        <w:tc>
          <w:tcPr>
            <w:tcW w:w="1480" w:type="dxa"/>
            <w:tcBorders>
              <w:top w:val="nil"/>
              <w:left w:val="nil"/>
              <w:bottom w:val="nil"/>
              <w:right w:val="nil"/>
            </w:tcBorders>
            <w:shd w:val="clear" w:color="auto" w:fill="auto"/>
            <w:noWrap/>
            <w:vAlign w:val="center"/>
            <w:hideMark/>
          </w:tcPr>
          <w:p w14:paraId="6DA5024C"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10.0</w:t>
            </w:r>
          </w:p>
        </w:tc>
      </w:tr>
      <w:tr w:rsidR="00022387" w:rsidRPr="00022387" w14:paraId="516B351D"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75EE26E5"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2009</w:t>
            </w:r>
          </w:p>
        </w:tc>
        <w:tc>
          <w:tcPr>
            <w:tcW w:w="2380" w:type="dxa"/>
            <w:tcBorders>
              <w:top w:val="nil"/>
              <w:left w:val="nil"/>
              <w:bottom w:val="nil"/>
              <w:right w:val="nil"/>
            </w:tcBorders>
            <w:shd w:val="clear" w:color="auto" w:fill="auto"/>
            <w:noWrap/>
            <w:vAlign w:val="center"/>
            <w:hideMark/>
          </w:tcPr>
          <w:p w14:paraId="4C5728AF"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15.9</w:t>
            </w:r>
          </w:p>
        </w:tc>
        <w:tc>
          <w:tcPr>
            <w:tcW w:w="1780" w:type="dxa"/>
            <w:tcBorders>
              <w:top w:val="nil"/>
              <w:left w:val="nil"/>
              <w:bottom w:val="nil"/>
              <w:right w:val="nil"/>
            </w:tcBorders>
            <w:shd w:val="clear" w:color="auto" w:fill="auto"/>
            <w:noWrap/>
            <w:vAlign w:val="center"/>
            <w:hideMark/>
          </w:tcPr>
          <w:p w14:paraId="46C0A767"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14.8</w:t>
            </w:r>
          </w:p>
        </w:tc>
        <w:tc>
          <w:tcPr>
            <w:tcW w:w="1420" w:type="dxa"/>
            <w:tcBorders>
              <w:top w:val="nil"/>
              <w:left w:val="nil"/>
              <w:bottom w:val="nil"/>
              <w:right w:val="nil"/>
            </w:tcBorders>
            <w:shd w:val="clear" w:color="auto" w:fill="auto"/>
            <w:noWrap/>
            <w:vAlign w:val="center"/>
            <w:hideMark/>
          </w:tcPr>
          <w:p w14:paraId="67E2EE7C"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1.1</w:t>
            </w:r>
          </w:p>
        </w:tc>
        <w:tc>
          <w:tcPr>
            <w:tcW w:w="1480" w:type="dxa"/>
            <w:tcBorders>
              <w:top w:val="nil"/>
              <w:left w:val="nil"/>
              <w:bottom w:val="nil"/>
              <w:right w:val="nil"/>
            </w:tcBorders>
            <w:shd w:val="clear" w:color="auto" w:fill="auto"/>
            <w:noWrap/>
            <w:vAlign w:val="center"/>
            <w:hideMark/>
          </w:tcPr>
          <w:p w14:paraId="07E4039C"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6.8</w:t>
            </w:r>
          </w:p>
        </w:tc>
      </w:tr>
      <w:tr w:rsidR="00022387" w:rsidRPr="00022387" w14:paraId="56DEF380"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18E17147"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2010</w:t>
            </w:r>
          </w:p>
        </w:tc>
        <w:tc>
          <w:tcPr>
            <w:tcW w:w="2380" w:type="dxa"/>
            <w:tcBorders>
              <w:top w:val="nil"/>
              <w:left w:val="nil"/>
              <w:bottom w:val="nil"/>
              <w:right w:val="nil"/>
            </w:tcBorders>
            <w:shd w:val="clear" w:color="auto" w:fill="auto"/>
            <w:noWrap/>
            <w:vAlign w:val="center"/>
            <w:hideMark/>
          </w:tcPr>
          <w:p w14:paraId="1BC37F2C"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12.6</w:t>
            </w:r>
          </w:p>
        </w:tc>
        <w:tc>
          <w:tcPr>
            <w:tcW w:w="1780" w:type="dxa"/>
            <w:tcBorders>
              <w:top w:val="nil"/>
              <w:left w:val="nil"/>
              <w:bottom w:val="nil"/>
              <w:right w:val="nil"/>
            </w:tcBorders>
            <w:shd w:val="clear" w:color="auto" w:fill="auto"/>
            <w:noWrap/>
            <w:vAlign w:val="center"/>
            <w:hideMark/>
          </w:tcPr>
          <w:p w14:paraId="35F26E50"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11.1</w:t>
            </w:r>
          </w:p>
        </w:tc>
        <w:tc>
          <w:tcPr>
            <w:tcW w:w="1420" w:type="dxa"/>
            <w:tcBorders>
              <w:top w:val="nil"/>
              <w:left w:val="nil"/>
              <w:bottom w:val="nil"/>
              <w:right w:val="nil"/>
            </w:tcBorders>
            <w:shd w:val="clear" w:color="auto" w:fill="auto"/>
            <w:noWrap/>
            <w:vAlign w:val="center"/>
            <w:hideMark/>
          </w:tcPr>
          <w:p w14:paraId="307EB6CD"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1.5</w:t>
            </w:r>
          </w:p>
        </w:tc>
        <w:tc>
          <w:tcPr>
            <w:tcW w:w="1480" w:type="dxa"/>
            <w:tcBorders>
              <w:top w:val="nil"/>
              <w:left w:val="nil"/>
              <w:bottom w:val="nil"/>
              <w:right w:val="nil"/>
            </w:tcBorders>
            <w:shd w:val="clear" w:color="auto" w:fill="auto"/>
            <w:noWrap/>
            <w:vAlign w:val="center"/>
            <w:hideMark/>
          </w:tcPr>
          <w:p w14:paraId="083791BF"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11.8</w:t>
            </w:r>
          </w:p>
        </w:tc>
      </w:tr>
      <w:tr w:rsidR="00022387" w:rsidRPr="00022387" w14:paraId="0CEEBB58"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4230484C"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2012</w:t>
            </w:r>
          </w:p>
        </w:tc>
        <w:tc>
          <w:tcPr>
            <w:tcW w:w="2380" w:type="dxa"/>
            <w:tcBorders>
              <w:top w:val="nil"/>
              <w:left w:val="nil"/>
              <w:bottom w:val="nil"/>
              <w:right w:val="nil"/>
            </w:tcBorders>
            <w:shd w:val="clear" w:color="auto" w:fill="auto"/>
            <w:noWrap/>
            <w:vAlign w:val="center"/>
            <w:hideMark/>
          </w:tcPr>
          <w:p w14:paraId="51525A6F"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12.5</w:t>
            </w:r>
          </w:p>
        </w:tc>
        <w:tc>
          <w:tcPr>
            <w:tcW w:w="1780" w:type="dxa"/>
            <w:tcBorders>
              <w:top w:val="nil"/>
              <w:left w:val="nil"/>
              <w:bottom w:val="nil"/>
              <w:right w:val="nil"/>
            </w:tcBorders>
            <w:shd w:val="clear" w:color="auto" w:fill="auto"/>
            <w:noWrap/>
            <w:vAlign w:val="center"/>
            <w:hideMark/>
          </w:tcPr>
          <w:p w14:paraId="5F643175"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11.2</w:t>
            </w:r>
          </w:p>
        </w:tc>
        <w:tc>
          <w:tcPr>
            <w:tcW w:w="1420" w:type="dxa"/>
            <w:tcBorders>
              <w:top w:val="nil"/>
              <w:left w:val="nil"/>
              <w:bottom w:val="nil"/>
              <w:right w:val="nil"/>
            </w:tcBorders>
            <w:shd w:val="clear" w:color="auto" w:fill="auto"/>
            <w:noWrap/>
            <w:vAlign w:val="center"/>
            <w:hideMark/>
          </w:tcPr>
          <w:p w14:paraId="21CA4D3E"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1.3</w:t>
            </w:r>
          </w:p>
        </w:tc>
        <w:tc>
          <w:tcPr>
            <w:tcW w:w="1480" w:type="dxa"/>
            <w:tcBorders>
              <w:top w:val="nil"/>
              <w:left w:val="nil"/>
              <w:bottom w:val="nil"/>
              <w:right w:val="nil"/>
            </w:tcBorders>
            <w:shd w:val="clear" w:color="auto" w:fill="auto"/>
            <w:noWrap/>
            <w:vAlign w:val="center"/>
            <w:hideMark/>
          </w:tcPr>
          <w:p w14:paraId="6902010A"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10.5</w:t>
            </w:r>
          </w:p>
        </w:tc>
      </w:tr>
      <w:tr w:rsidR="00022387" w:rsidRPr="00022387" w14:paraId="5C86F41A"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3D95E939"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2013</w:t>
            </w:r>
          </w:p>
        </w:tc>
        <w:tc>
          <w:tcPr>
            <w:tcW w:w="2380" w:type="dxa"/>
            <w:tcBorders>
              <w:top w:val="nil"/>
              <w:left w:val="nil"/>
              <w:bottom w:val="nil"/>
              <w:right w:val="nil"/>
            </w:tcBorders>
            <w:shd w:val="clear" w:color="auto" w:fill="auto"/>
            <w:noWrap/>
            <w:vAlign w:val="center"/>
            <w:hideMark/>
          </w:tcPr>
          <w:p w14:paraId="3B2109C5"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17.3</w:t>
            </w:r>
          </w:p>
        </w:tc>
        <w:tc>
          <w:tcPr>
            <w:tcW w:w="1780" w:type="dxa"/>
            <w:tcBorders>
              <w:top w:val="nil"/>
              <w:left w:val="nil"/>
              <w:bottom w:val="nil"/>
              <w:right w:val="nil"/>
            </w:tcBorders>
            <w:shd w:val="clear" w:color="auto" w:fill="auto"/>
            <w:noWrap/>
            <w:vAlign w:val="center"/>
            <w:hideMark/>
          </w:tcPr>
          <w:p w14:paraId="7D80B124"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15.6</w:t>
            </w:r>
          </w:p>
        </w:tc>
        <w:tc>
          <w:tcPr>
            <w:tcW w:w="1420" w:type="dxa"/>
            <w:tcBorders>
              <w:top w:val="nil"/>
              <w:left w:val="nil"/>
              <w:bottom w:val="nil"/>
              <w:right w:val="nil"/>
            </w:tcBorders>
            <w:shd w:val="clear" w:color="auto" w:fill="auto"/>
            <w:noWrap/>
            <w:vAlign w:val="center"/>
            <w:hideMark/>
          </w:tcPr>
          <w:p w14:paraId="4D18A578"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1.7</w:t>
            </w:r>
          </w:p>
        </w:tc>
        <w:tc>
          <w:tcPr>
            <w:tcW w:w="1480" w:type="dxa"/>
            <w:tcBorders>
              <w:top w:val="nil"/>
              <w:left w:val="nil"/>
              <w:bottom w:val="nil"/>
              <w:right w:val="nil"/>
            </w:tcBorders>
            <w:shd w:val="clear" w:color="auto" w:fill="auto"/>
            <w:noWrap/>
            <w:vAlign w:val="center"/>
            <w:hideMark/>
          </w:tcPr>
          <w:p w14:paraId="4590BBF1"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9.7</w:t>
            </w:r>
          </w:p>
        </w:tc>
      </w:tr>
      <w:tr w:rsidR="00022387" w:rsidRPr="00022387" w14:paraId="2DFFE405"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404F6455"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2014</w:t>
            </w:r>
          </w:p>
        </w:tc>
        <w:tc>
          <w:tcPr>
            <w:tcW w:w="2380" w:type="dxa"/>
            <w:tcBorders>
              <w:top w:val="nil"/>
              <w:left w:val="nil"/>
              <w:bottom w:val="nil"/>
              <w:right w:val="nil"/>
            </w:tcBorders>
            <w:shd w:val="clear" w:color="auto" w:fill="auto"/>
            <w:noWrap/>
            <w:vAlign w:val="center"/>
            <w:hideMark/>
          </w:tcPr>
          <w:p w14:paraId="40C8F762"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20.9</w:t>
            </w:r>
          </w:p>
        </w:tc>
        <w:tc>
          <w:tcPr>
            <w:tcW w:w="1780" w:type="dxa"/>
            <w:tcBorders>
              <w:top w:val="nil"/>
              <w:left w:val="nil"/>
              <w:bottom w:val="nil"/>
              <w:right w:val="nil"/>
            </w:tcBorders>
            <w:shd w:val="clear" w:color="auto" w:fill="auto"/>
            <w:noWrap/>
            <w:vAlign w:val="center"/>
            <w:hideMark/>
          </w:tcPr>
          <w:p w14:paraId="78C730A8"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19.5</w:t>
            </w:r>
          </w:p>
        </w:tc>
        <w:tc>
          <w:tcPr>
            <w:tcW w:w="1420" w:type="dxa"/>
            <w:tcBorders>
              <w:top w:val="nil"/>
              <w:left w:val="nil"/>
              <w:bottom w:val="nil"/>
              <w:right w:val="nil"/>
            </w:tcBorders>
            <w:shd w:val="clear" w:color="auto" w:fill="auto"/>
            <w:noWrap/>
            <w:vAlign w:val="center"/>
            <w:hideMark/>
          </w:tcPr>
          <w:p w14:paraId="0CA296DE"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1.4</w:t>
            </w:r>
          </w:p>
        </w:tc>
        <w:tc>
          <w:tcPr>
            <w:tcW w:w="1480" w:type="dxa"/>
            <w:tcBorders>
              <w:top w:val="nil"/>
              <w:left w:val="nil"/>
              <w:bottom w:val="nil"/>
              <w:right w:val="nil"/>
            </w:tcBorders>
            <w:shd w:val="clear" w:color="auto" w:fill="auto"/>
            <w:noWrap/>
            <w:vAlign w:val="center"/>
            <w:hideMark/>
          </w:tcPr>
          <w:p w14:paraId="5482839C"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6.6</w:t>
            </w:r>
          </w:p>
        </w:tc>
      </w:tr>
      <w:tr w:rsidR="00022387" w:rsidRPr="00022387" w14:paraId="021D5432" w14:textId="77777777" w:rsidTr="00022387">
        <w:trPr>
          <w:trHeight w:val="300"/>
          <w:jc w:val="center"/>
        </w:trPr>
        <w:tc>
          <w:tcPr>
            <w:tcW w:w="1120" w:type="dxa"/>
            <w:tcBorders>
              <w:top w:val="nil"/>
              <w:left w:val="nil"/>
              <w:bottom w:val="nil"/>
              <w:right w:val="nil"/>
            </w:tcBorders>
            <w:shd w:val="clear" w:color="auto" w:fill="auto"/>
            <w:noWrap/>
            <w:vAlign w:val="center"/>
            <w:hideMark/>
          </w:tcPr>
          <w:p w14:paraId="4CDB6051"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2018</w:t>
            </w:r>
          </w:p>
        </w:tc>
        <w:tc>
          <w:tcPr>
            <w:tcW w:w="2380" w:type="dxa"/>
            <w:tcBorders>
              <w:top w:val="nil"/>
              <w:left w:val="nil"/>
              <w:bottom w:val="nil"/>
              <w:right w:val="nil"/>
            </w:tcBorders>
            <w:shd w:val="clear" w:color="auto" w:fill="auto"/>
            <w:noWrap/>
            <w:vAlign w:val="center"/>
            <w:hideMark/>
          </w:tcPr>
          <w:p w14:paraId="170AEEBA"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17.7</w:t>
            </w:r>
          </w:p>
        </w:tc>
        <w:tc>
          <w:tcPr>
            <w:tcW w:w="1780" w:type="dxa"/>
            <w:tcBorders>
              <w:top w:val="nil"/>
              <w:left w:val="nil"/>
              <w:bottom w:val="nil"/>
              <w:right w:val="nil"/>
            </w:tcBorders>
            <w:shd w:val="clear" w:color="auto" w:fill="auto"/>
            <w:noWrap/>
            <w:vAlign w:val="center"/>
            <w:hideMark/>
          </w:tcPr>
          <w:p w14:paraId="19750D3F"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16.3</w:t>
            </w:r>
          </w:p>
        </w:tc>
        <w:tc>
          <w:tcPr>
            <w:tcW w:w="1420" w:type="dxa"/>
            <w:tcBorders>
              <w:top w:val="nil"/>
              <w:left w:val="nil"/>
              <w:bottom w:val="nil"/>
              <w:right w:val="nil"/>
            </w:tcBorders>
            <w:shd w:val="clear" w:color="auto" w:fill="auto"/>
            <w:noWrap/>
            <w:vAlign w:val="center"/>
            <w:hideMark/>
          </w:tcPr>
          <w:p w14:paraId="3A89DBCA"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1.4</w:t>
            </w:r>
          </w:p>
        </w:tc>
        <w:tc>
          <w:tcPr>
            <w:tcW w:w="1480" w:type="dxa"/>
            <w:tcBorders>
              <w:top w:val="nil"/>
              <w:left w:val="nil"/>
              <w:bottom w:val="nil"/>
              <w:right w:val="nil"/>
            </w:tcBorders>
            <w:shd w:val="clear" w:color="auto" w:fill="auto"/>
            <w:noWrap/>
            <w:vAlign w:val="center"/>
            <w:hideMark/>
          </w:tcPr>
          <w:p w14:paraId="55C1AD2C"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8.1</w:t>
            </w:r>
          </w:p>
        </w:tc>
      </w:tr>
      <w:tr w:rsidR="00022387" w:rsidRPr="00022387" w14:paraId="3EC2A85A" w14:textId="77777777" w:rsidTr="00022387">
        <w:trPr>
          <w:trHeight w:val="300"/>
          <w:jc w:val="center"/>
        </w:trPr>
        <w:tc>
          <w:tcPr>
            <w:tcW w:w="1120" w:type="dxa"/>
            <w:tcBorders>
              <w:top w:val="single" w:sz="4" w:space="0" w:color="auto"/>
              <w:left w:val="nil"/>
              <w:bottom w:val="single" w:sz="4" w:space="0" w:color="auto"/>
              <w:right w:val="nil"/>
            </w:tcBorders>
            <w:shd w:val="clear" w:color="auto" w:fill="auto"/>
            <w:noWrap/>
            <w:vAlign w:val="bottom"/>
            <w:hideMark/>
          </w:tcPr>
          <w:p w14:paraId="3A33A229" w14:textId="77777777" w:rsidR="00022387" w:rsidRPr="00022387" w:rsidRDefault="00022387" w:rsidP="00022387">
            <w:pPr>
              <w:spacing w:after="0" w:line="240" w:lineRule="auto"/>
              <w:jc w:val="right"/>
              <w:rPr>
                <w:rFonts w:ascii="Calibri" w:eastAsia="Times New Roman" w:hAnsi="Calibri" w:cs="Calibri"/>
                <w:color w:val="000000"/>
              </w:rPr>
            </w:pPr>
            <w:r w:rsidRPr="00022387">
              <w:rPr>
                <w:rFonts w:ascii="Calibri" w:eastAsia="Times New Roman" w:hAnsi="Calibri" w:cs="Calibri"/>
                <w:color w:val="000000"/>
              </w:rPr>
              <w:t>Average</w:t>
            </w:r>
          </w:p>
        </w:tc>
        <w:tc>
          <w:tcPr>
            <w:tcW w:w="2380" w:type="dxa"/>
            <w:tcBorders>
              <w:top w:val="single" w:sz="4" w:space="0" w:color="auto"/>
              <w:left w:val="nil"/>
              <w:bottom w:val="single" w:sz="4" w:space="0" w:color="auto"/>
              <w:right w:val="nil"/>
            </w:tcBorders>
            <w:shd w:val="clear" w:color="auto" w:fill="auto"/>
            <w:noWrap/>
            <w:vAlign w:val="bottom"/>
            <w:hideMark/>
          </w:tcPr>
          <w:p w14:paraId="69E0C7E0"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16.1</w:t>
            </w:r>
          </w:p>
        </w:tc>
        <w:tc>
          <w:tcPr>
            <w:tcW w:w="1780" w:type="dxa"/>
            <w:tcBorders>
              <w:top w:val="single" w:sz="4" w:space="0" w:color="auto"/>
              <w:left w:val="nil"/>
              <w:bottom w:val="single" w:sz="4" w:space="0" w:color="auto"/>
              <w:right w:val="nil"/>
            </w:tcBorders>
            <w:shd w:val="clear" w:color="auto" w:fill="auto"/>
            <w:noWrap/>
            <w:vAlign w:val="bottom"/>
            <w:hideMark/>
          </w:tcPr>
          <w:p w14:paraId="6F60CA11"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14.6</w:t>
            </w:r>
          </w:p>
        </w:tc>
        <w:tc>
          <w:tcPr>
            <w:tcW w:w="1420" w:type="dxa"/>
            <w:tcBorders>
              <w:top w:val="single" w:sz="4" w:space="0" w:color="auto"/>
              <w:left w:val="nil"/>
              <w:bottom w:val="single" w:sz="4" w:space="0" w:color="auto"/>
              <w:right w:val="nil"/>
            </w:tcBorders>
            <w:shd w:val="clear" w:color="auto" w:fill="auto"/>
            <w:noWrap/>
            <w:vAlign w:val="bottom"/>
            <w:hideMark/>
          </w:tcPr>
          <w:p w14:paraId="6F34EB61"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1.5</w:t>
            </w:r>
          </w:p>
        </w:tc>
        <w:tc>
          <w:tcPr>
            <w:tcW w:w="1480" w:type="dxa"/>
            <w:tcBorders>
              <w:top w:val="single" w:sz="4" w:space="0" w:color="auto"/>
              <w:left w:val="nil"/>
              <w:bottom w:val="single" w:sz="4" w:space="0" w:color="auto"/>
              <w:right w:val="nil"/>
            </w:tcBorders>
            <w:shd w:val="clear" w:color="auto" w:fill="auto"/>
            <w:noWrap/>
            <w:vAlign w:val="bottom"/>
            <w:hideMark/>
          </w:tcPr>
          <w:p w14:paraId="5C36D628" w14:textId="77777777" w:rsidR="00022387" w:rsidRPr="00022387" w:rsidRDefault="00022387" w:rsidP="00022387">
            <w:pPr>
              <w:spacing w:after="0" w:line="240" w:lineRule="auto"/>
              <w:jc w:val="center"/>
              <w:rPr>
                <w:rFonts w:ascii="Calibri" w:eastAsia="Times New Roman" w:hAnsi="Calibri" w:cs="Calibri"/>
                <w:color w:val="000000"/>
              </w:rPr>
            </w:pPr>
            <w:r w:rsidRPr="00022387">
              <w:rPr>
                <w:rFonts w:ascii="Calibri" w:eastAsia="Times New Roman" w:hAnsi="Calibri" w:cs="Calibri"/>
                <w:color w:val="000000"/>
              </w:rPr>
              <w:t>9.3</w:t>
            </w:r>
          </w:p>
        </w:tc>
      </w:tr>
    </w:tbl>
    <w:p w14:paraId="2C173906" w14:textId="77777777" w:rsidR="0006071C" w:rsidRDefault="0006071C" w:rsidP="008E5953">
      <w:pPr>
        <w:spacing w:after="0"/>
        <w:rPr>
          <w:rFonts w:ascii="Times New Roman" w:hAnsi="Times New Roman" w:cs="Times New Roman"/>
          <w:sz w:val="24"/>
        </w:rPr>
      </w:pPr>
    </w:p>
    <w:p w14:paraId="375BF364" w14:textId="78B01CD6" w:rsidR="008528BD" w:rsidRDefault="008528BD" w:rsidP="008E5953">
      <w:pPr>
        <w:spacing w:after="0"/>
        <w:rPr>
          <w:rFonts w:ascii="Times New Roman" w:hAnsi="Times New Roman" w:cs="Times New Roman"/>
          <w:sz w:val="24"/>
        </w:rPr>
      </w:pPr>
      <w:r w:rsidRPr="008528BD">
        <w:rPr>
          <w:rFonts w:ascii="Times New Roman" w:hAnsi="Times New Roman" w:cs="Times New Roman"/>
          <w:sz w:val="24"/>
          <w:u w:val="single"/>
        </w:rPr>
        <w:t>Habitat availability</w:t>
      </w:r>
    </w:p>
    <w:p w14:paraId="1F51DB15" w14:textId="1AA56D38" w:rsidR="00931A76" w:rsidRDefault="00931A76" w:rsidP="008E5953">
      <w:pPr>
        <w:spacing w:after="0"/>
        <w:rPr>
          <w:rFonts w:ascii="Times New Roman" w:hAnsi="Times New Roman" w:cs="Times New Roman"/>
          <w:sz w:val="24"/>
        </w:rPr>
      </w:pPr>
      <w:r>
        <w:rPr>
          <w:rFonts w:ascii="Times New Roman" w:hAnsi="Times New Roman" w:cs="Times New Roman"/>
          <w:sz w:val="24"/>
        </w:rPr>
        <w:t xml:space="preserve">The first thing to recognize regarding habitat availability is that </w:t>
      </w:r>
      <w:r w:rsidR="00A02785">
        <w:rPr>
          <w:rFonts w:ascii="Times New Roman" w:hAnsi="Times New Roman" w:cs="Times New Roman"/>
          <w:sz w:val="24"/>
        </w:rPr>
        <w:t>increasing physical habitat (i.e., suitable depths, velocities, and distance to escape cover) is not an explicit objective of the WVF project or the revised WVF recommendation for WY24</w:t>
      </w:r>
      <w:r w:rsidR="002B29EC">
        <w:rPr>
          <w:rFonts w:ascii="Times New Roman" w:hAnsi="Times New Roman" w:cs="Times New Roman"/>
          <w:sz w:val="24"/>
        </w:rPr>
        <w:t>, and the analy</w:t>
      </w:r>
      <w:r w:rsidR="00B518A3">
        <w:rPr>
          <w:rFonts w:ascii="Times New Roman" w:hAnsi="Times New Roman" w:cs="Times New Roman"/>
          <w:sz w:val="24"/>
        </w:rPr>
        <w:t>sis results presented below only consider</w:t>
      </w:r>
      <w:r w:rsidR="00920AD5">
        <w:rPr>
          <w:rFonts w:ascii="Times New Roman" w:hAnsi="Times New Roman" w:cs="Times New Roman"/>
          <w:sz w:val="24"/>
        </w:rPr>
        <w:t>s</w:t>
      </w:r>
      <w:r w:rsidR="00B518A3">
        <w:rPr>
          <w:rFonts w:ascii="Times New Roman" w:hAnsi="Times New Roman" w:cs="Times New Roman"/>
          <w:sz w:val="24"/>
        </w:rPr>
        <w:t xml:space="preserve"> physical habitat. </w:t>
      </w:r>
      <w:r w:rsidR="00844879">
        <w:rPr>
          <w:rFonts w:ascii="Times New Roman" w:hAnsi="Times New Roman" w:cs="Times New Roman"/>
          <w:sz w:val="24"/>
        </w:rPr>
        <w:t>The primary habitat benefit in winter from elevated winter flows is to food production</w:t>
      </w:r>
      <w:r w:rsidR="002A375C">
        <w:rPr>
          <w:rFonts w:ascii="Times New Roman" w:hAnsi="Times New Roman" w:cs="Times New Roman"/>
          <w:sz w:val="24"/>
        </w:rPr>
        <w:t xml:space="preserve">, for which we do not currently have </w:t>
      </w:r>
      <w:r w:rsidR="007746DE">
        <w:rPr>
          <w:rFonts w:ascii="Times New Roman" w:hAnsi="Times New Roman" w:cs="Times New Roman"/>
          <w:sz w:val="24"/>
        </w:rPr>
        <w:t>explicit models</w:t>
      </w:r>
      <w:r w:rsidR="002A375C">
        <w:rPr>
          <w:rFonts w:ascii="Times New Roman" w:hAnsi="Times New Roman" w:cs="Times New Roman"/>
          <w:sz w:val="24"/>
        </w:rPr>
        <w:t xml:space="preserve">. </w:t>
      </w:r>
      <w:r w:rsidR="00506129">
        <w:rPr>
          <w:rFonts w:ascii="Times New Roman" w:hAnsi="Times New Roman" w:cs="Times New Roman"/>
          <w:sz w:val="24"/>
        </w:rPr>
        <w:t>These habitat results are provided here for completeness and transparency.</w:t>
      </w:r>
      <w:r w:rsidR="007746DE">
        <w:rPr>
          <w:rFonts w:ascii="Times New Roman" w:hAnsi="Times New Roman" w:cs="Times New Roman"/>
          <w:sz w:val="24"/>
        </w:rPr>
        <w:t xml:space="preserve"> </w:t>
      </w:r>
      <w:r w:rsidR="00E77A36">
        <w:rPr>
          <w:rFonts w:ascii="Times New Roman" w:hAnsi="Times New Roman" w:cs="Times New Roman"/>
          <w:sz w:val="24"/>
        </w:rPr>
        <w:t>While the original WVF proposal resulted in a</w:t>
      </w:r>
      <w:r w:rsidR="00BE196C">
        <w:rPr>
          <w:rFonts w:ascii="Times New Roman" w:hAnsi="Times New Roman" w:cs="Times New Roman"/>
          <w:sz w:val="24"/>
        </w:rPr>
        <w:t xml:space="preserve">n average </w:t>
      </w:r>
      <w:r w:rsidR="00E77A36">
        <w:rPr>
          <w:rFonts w:ascii="Times New Roman" w:hAnsi="Times New Roman" w:cs="Times New Roman"/>
          <w:sz w:val="24"/>
        </w:rPr>
        <w:t xml:space="preserve">increase of </w:t>
      </w:r>
      <w:r w:rsidR="00BE196C">
        <w:rPr>
          <w:rFonts w:ascii="Times New Roman" w:hAnsi="Times New Roman" w:cs="Times New Roman"/>
          <w:sz w:val="24"/>
        </w:rPr>
        <w:t>physical habitat availability of ~8%, the compromised proposal shows increase of less than 1%.</w:t>
      </w:r>
      <w:r w:rsidR="00E77A36">
        <w:rPr>
          <w:rFonts w:ascii="Times New Roman" w:hAnsi="Times New Roman" w:cs="Times New Roman"/>
          <w:sz w:val="24"/>
        </w:rPr>
        <w:t xml:space="preserve"> </w:t>
      </w:r>
    </w:p>
    <w:p w14:paraId="5328344B" w14:textId="77777777" w:rsidR="00506129" w:rsidRDefault="00506129" w:rsidP="008E5953">
      <w:pPr>
        <w:spacing w:after="0"/>
        <w:rPr>
          <w:rFonts w:ascii="Times New Roman" w:hAnsi="Times New Roman" w:cs="Times New Roman"/>
          <w:sz w:val="24"/>
        </w:rPr>
      </w:pPr>
    </w:p>
    <w:p w14:paraId="49C51CF5" w14:textId="77777777" w:rsidR="00506129" w:rsidRDefault="00506129" w:rsidP="008E5953">
      <w:pPr>
        <w:spacing w:after="0"/>
        <w:rPr>
          <w:rFonts w:ascii="Times New Roman" w:hAnsi="Times New Roman" w:cs="Times New Roman"/>
          <w:sz w:val="24"/>
        </w:rPr>
      </w:pPr>
    </w:p>
    <w:p w14:paraId="2242D227" w14:textId="77777777" w:rsidR="00931A76" w:rsidRDefault="00931A76" w:rsidP="008E5953">
      <w:pPr>
        <w:spacing w:after="0"/>
        <w:rPr>
          <w:rFonts w:ascii="Times New Roman" w:hAnsi="Times New Roman" w:cs="Times New Roman"/>
          <w:sz w:val="24"/>
        </w:rPr>
      </w:pPr>
    </w:p>
    <w:p w14:paraId="6D73FEDF" w14:textId="22303A85" w:rsidR="008528BD" w:rsidRDefault="00B20F6E" w:rsidP="00B20F6E">
      <w:pPr>
        <w:spacing w:after="0"/>
        <w:jc w:val="center"/>
        <w:rPr>
          <w:rFonts w:ascii="Times New Roman" w:hAnsi="Times New Roman" w:cs="Times New Roman"/>
          <w:sz w:val="24"/>
        </w:rPr>
      </w:pPr>
      <w:r>
        <w:rPr>
          <w:rFonts w:ascii="Times New Roman" w:hAnsi="Times New Roman" w:cs="Times New Roman"/>
          <w:noProof/>
          <w:sz w:val="24"/>
        </w:rPr>
        <w:drawing>
          <wp:inline distT="0" distB="0" distL="0" distR="0" wp14:anchorId="258CDC52" wp14:editId="7DF6796B">
            <wp:extent cx="5462546" cy="2687320"/>
            <wp:effectExtent l="0" t="0" r="5080" b="0"/>
            <wp:docPr id="2017349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8035"/>
                    <a:stretch/>
                  </pic:blipFill>
                  <pic:spPr bwMode="auto">
                    <a:xfrm>
                      <a:off x="0" y="0"/>
                      <a:ext cx="5462546" cy="2687320"/>
                    </a:xfrm>
                    <a:prstGeom prst="rect">
                      <a:avLst/>
                    </a:prstGeom>
                    <a:noFill/>
                    <a:ln>
                      <a:noFill/>
                    </a:ln>
                    <a:extLst>
                      <a:ext uri="{53640926-AAD7-44D8-BBD7-CCE9431645EC}">
                        <a14:shadowObscured xmlns:a14="http://schemas.microsoft.com/office/drawing/2010/main"/>
                      </a:ext>
                    </a:extLst>
                  </pic:spPr>
                </pic:pic>
              </a:graphicData>
            </a:graphic>
          </wp:inline>
        </w:drawing>
      </w:r>
    </w:p>
    <w:p w14:paraId="4721CF58" w14:textId="43F82B05" w:rsidR="00B4747B" w:rsidRPr="008528BD" w:rsidRDefault="00B4747B" w:rsidP="00B4747B">
      <w:pPr>
        <w:spacing w:after="0"/>
        <w:rPr>
          <w:rFonts w:ascii="Times New Roman" w:hAnsi="Times New Roman" w:cs="Times New Roman"/>
          <w:sz w:val="24"/>
        </w:rPr>
      </w:pPr>
      <w:r>
        <w:rPr>
          <w:rFonts w:ascii="Times New Roman" w:hAnsi="Times New Roman" w:cs="Times New Roman"/>
          <w:sz w:val="24"/>
        </w:rPr>
        <w:t>Figure 5. Capacity of fry (left) and presmolt (right</w:t>
      </w:r>
      <w:r w:rsidR="00A251ED">
        <w:rPr>
          <w:rFonts w:ascii="Times New Roman" w:hAnsi="Times New Roman" w:cs="Times New Roman"/>
          <w:sz w:val="24"/>
        </w:rPr>
        <w:t>) Chinook Salmon as it relates to flow duration for revised winter variable flow recommendation (</w:t>
      </w:r>
      <w:r w:rsidR="000C5343">
        <w:rPr>
          <w:rFonts w:ascii="Times New Roman" w:hAnsi="Times New Roman" w:cs="Times New Roman"/>
          <w:sz w:val="24"/>
        </w:rPr>
        <w:t>“Alternative Subset Years”) and ROD flows (“No Alternative”)</w:t>
      </w:r>
      <w:r w:rsidR="00F261E1">
        <w:rPr>
          <w:rFonts w:ascii="Times New Roman" w:hAnsi="Times New Roman" w:cs="Times New Roman"/>
          <w:sz w:val="24"/>
        </w:rPr>
        <w:t xml:space="preserve"> over the entire Trinity River restoration reach.</w:t>
      </w:r>
    </w:p>
    <w:p w14:paraId="5BB4CF45" w14:textId="77777777" w:rsidR="00007D49" w:rsidRDefault="00007D49" w:rsidP="008E5953">
      <w:pPr>
        <w:spacing w:after="0"/>
        <w:rPr>
          <w:rFonts w:ascii="Times New Roman" w:hAnsi="Times New Roman" w:cs="Times New Roman"/>
          <w:sz w:val="24"/>
        </w:rPr>
      </w:pPr>
    </w:p>
    <w:p w14:paraId="2724F352" w14:textId="116C2A98" w:rsidR="00064040" w:rsidRPr="00157D61" w:rsidRDefault="00B05CB7" w:rsidP="008E5953">
      <w:pPr>
        <w:spacing w:after="0"/>
        <w:rPr>
          <w:rFonts w:ascii="Times New Roman" w:hAnsi="Times New Roman" w:cs="Times New Roman"/>
          <w:b/>
          <w:bCs/>
          <w:sz w:val="24"/>
          <w:u w:val="single"/>
        </w:rPr>
      </w:pPr>
      <w:r w:rsidRPr="00157D61">
        <w:rPr>
          <w:rFonts w:ascii="Times New Roman" w:hAnsi="Times New Roman" w:cs="Times New Roman"/>
          <w:b/>
          <w:bCs/>
          <w:sz w:val="24"/>
          <w:u w:val="single"/>
        </w:rPr>
        <w:t xml:space="preserve">Planned </w:t>
      </w:r>
      <w:r w:rsidR="00E55CCB" w:rsidRPr="00157D61">
        <w:rPr>
          <w:rFonts w:ascii="Times New Roman" w:hAnsi="Times New Roman" w:cs="Times New Roman"/>
          <w:b/>
          <w:bCs/>
          <w:sz w:val="24"/>
          <w:u w:val="single"/>
        </w:rPr>
        <w:t>M</w:t>
      </w:r>
      <w:r w:rsidRPr="00157D61">
        <w:rPr>
          <w:rFonts w:ascii="Times New Roman" w:hAnsi="Times New Roman" w:cs="Times New Roman"/>
          <w:b/>
          <w:bCs/>
          <w:sz w:val="24"/>
          <w:u w:val="single"/>
        </w:rPr>
        <w:t>onitoring</w:t>
      </w:r>
    </w:p>
    <w:p w14:paraId="7B6A3C1E" w14:textId="77777777" w:rsidR="00064040" w:rsidRDefault="00064040" w:rsidP="008E5953">
      <w:pPr>
        <w:spacing w:after="0"/>
        <w:rPr>
          <w:rFonts w:ascii="Times New Roman" w:hAnsi="Times New Roman" w:cs="Times New Roman"/>
          <w:sz w:val="24"/>
        </w:rPr>
      </w:pPr>
    </w:p>
    <w:p w14:paraId="23064A18" w14:textId="712CF489" w:rsidR="00064040" w:rsidRDefault="002B4B48" w:rsidP="008E5953">
      <w:pPr>
        <w:spacing w:after="0"/>
        <w:rPr>
          <w:rFonts w:ascii="Times New Roman" w:hAnsi="Times New Roman" w:cs="Times New Roman"/>
          <w:sz w:val="24"/>
        </w:rPr>
      </w:pPr>
      <w:r>
        <w:rPr>
          <w:rFonts w:ascii="Times New Roman" w:hAnsi="Times New Roman" w:cs="Times New Roman"/>
          <w:sz w:val="24"/>
        </w:rPr>
        <w:t xml:space="preserve">Much of the monitoring that </w:t>
      </w:r>
      <w:r w:rsidR="004A335C">
        <w:rPr>
          <w:rFonts w:ascii="Times New Roman" w:hAnsi="Times New Roman" w:cs="Times New Roman"/>
          <w:sz w:val="24"/>
        </w:rPr>
        <w:t xml:space="preserve">is needed to evaluate the effects of implementing WVFs this year, or any year, has been in place for many years, </w:t>
      </w:r>
      <w:r w:rsidR="00F073B1">
        <w:rPr>
          <w:rFonts w:ascii="Times New Roman" w:hAnsi="Times New Roman" w:cs="Times New Roman"/>
          <w:sz w:val="24"/>
        </w:rPr>
        <w:t>and additional monitoring</w:t>
      </w:r>
      <w:r w:rsidR="00C304AF">
        <w:rPr>
          <w:rFonts w:ascii="Times New Roman" w:hAnsi="Times New Roman" w:cs="Times New Roman"/>
          <w:sz w:val="24"/>
        </w:rPr>
        <w:t xml:space="preserve"> that was added in WY23 specifically to measure the effects of WVF is planned for WY24. </w:t>
      </w:r>
      <w:r w:rsidR="0048434F">
        <w:rPr>
          <w:rFonts w:ascii="Times New Roman" w:hAnsi="Times New Roman" w:cs="Times New Roman"/>
          <w:sz w:val="24"/>
        </w:rPr>
        <w:t>These monitoring activities include:</w:t>
      </w:r>
    </w:p>
    <w:p w14:paraId="05394AE8" w14:textId="77777777" w:rsidR="0048434F" w:rsidRDefault="0048434F" w:rsidP="008E5953">
      <w:pPr>
        <w:spacing w:after="0"/>
        <w:rPr>
          <w:rFonts w:ascii="Times New Roman" w:hAnsi="Times New Roman" w:cs="Times New Roman"/>
          <w:sz w:val="24"/>
        </w:rPr>
      </w:pPr>
    </w:p>
    <w:p w14:paraId="20E06DF9" w14:textId="1C3D51FA" w:rsidR="0048434F" w:rsidRDefault="0048434F" w:rsidP="0048434F">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Temperature monitoring at various locations throughout the mainstem river</w:t>
      </w:r>
      <w:r w:rsidR="002D346E">
        <w:rPr>
          <w:rFonts w:ascii="Times New Roman" w:hAnsi="Times New Roman" w:cs="Times New Roman"/>
          <w:sz w:val="24"/>
        </w:rPr>
        <w:t xml:space="preserve"> (e.g., Lewiston, Douglas City, the North Fork, and Hoopa)</w:t>
      </w:r>
      <w:r w:rsidR="00F87299">
        <w:rPr>
          <w:rFonts w:ascii="Times New Roman" w:hAnsi="Times New Roman" w:cs="Times New Roman"/>
          <w:sz w:val="24"/>
        </w:rPr>
        <w:t xml:space="preserve">, and the RBM10 model can be updated and calibrated with observed temperatures, flows, and </w:t>
      </w:r>
      <w:r w:rsidR="002C732C">
        <w:rPr>
          <w:rFonts w:ascii="Times New Roman" w:hAnsi="Times New Roman" w:cs="Times New Roman"/>
          <w:sz w:val="24"/>
        </w:rPr>
        <w:t>meteorology</w:t>
      </w:r>
      <w:r w:rsidR="00F87299">
        <w:rPr>
          <w:rFonts w:ascii="Times New Roman" w:hAnsi="Times New Roman" w:cs="Times New Roman"/>
          <w:sz w:val="24"/>
        </w:rPr>
        <w:t xml:space="preserve"> </w:t>
      </w:r>
      <w:r w:rsidR="004D3F11">
        <w:rPr>
          <w:rFonts w:ascii="Times New Roman" w:hAnsi="Times New Roman" w:cs="Times New Roman"/>
          <w:sz w:val="24"/>
        </w:rPr>
        <w:t xml:space="preserve">to provide fine-scale estimates of temperatures. </w:t>
      </w:r>
      <w:r w:rsidR="0033748D">
        <w:rPr>
          <w:rFonts w:ascii="Times New Roman" w:hAnsi="Times New Roman" w:cs="Times New Roman"/>
          <w:sz w:val="24"/>
        </w:rPr>
        <w:t>Water temperature is critical to understanding</w:t>
      </w:r>
      <w:r w:rsidR="00C23B90">
        <w:rPr>
          <w:rFonts w:ascii="Times New Roman" w:hAnsi="Times New Roman" w:cs="Times New Roman"/>
          <w:sz w:val="24"/>
        </w:rPr>
        <w:t xml:space="preserve"> the effects of WVF on</w:t>
      </w:r>
      <w:r w:rsidR="0033748D">
        <w:rPr>
          <w:rFonts w:ascii="Times New Roman" w:hAnsi="Times New Roman" w:cs="Times New Roman"/>
          <w:sz w:val="24"/>
        </w:rPr>
        <w:t xml:space="preserve"> both physical processes (e.g., reduced flows in spring)</w:t>
      </w:r>
      <w:r w:rsidR="00C23B90">
        <w:rPr>
          <w:rFonts w:ascii="Times New Roman" w:hAnsi="Times New Roman" w:cs="Times New Roman"/>
          <w:sz w:val="24"/>
        </w:rPr>
        <w:t xml:space="preserve"> and biological </w:t>
      </w:r>
      <w:r w:rsidR="00C23B90">
        <w:rPr>
          <w:rFonts w:ascii="Times New Roman" w:hAnsi="Times New Roman" w:cs="Times New Roman"/>
          <w:sz w:val="24"/>
        </w:rPr>
        <w:lastRenderedPageBreak/>
        <w:t>processes (e.g., fish growth</w:t>
      </w:r>
      <w:r w:rsidR="00356A36">
        <w:rPr>
          <w:rFonts w:ascii="Times New Roman" w:hAnsi="Times New Roman" w:cs="Times New Roman"/>
          <w:sz w:val="24"/>
        </w:rPr>
        <w:t>, larval frog growth and development).</w:t>
      </w:r>
      <w:r w:rsidR="00D55C2C">
        <w:rPr>
          <w:rFonts w:ascii="Times New Roman" w:hAnsi="Times New Roman" w:cs="Times New Roman"/>
          <w:sz w:val="24"/>
        </w:rPr>
        <w:t xml:space="preserve"> Temperature data is also needed to evaluate compliance with </w:t>
      </w:r>
      <w:r w:rsidR="00BE196C">
        <w:rPr>
          <w:rFonts w:ascii="Times New Roman" w:hAnsi="Times New Roman" w:cs="Times New Roman"/>
          <w:sz w:val="24"/>
        </w:rPr>
        <w:t xml:space="preserve">regulatory temperature </w:t>
      </w:r>
      <w:r w:rsidR="00D55C2C">
        <w:rPr>
          <w:rFonts w:ascii="Times New Roman" w:hAnsi="Times New Roman" w:cs="Times New Roman"/>
          <w:sz w:val="24"/>
        </w:rPr>
        <w:t>targets.</w:t>
      </w:r>
    </w:p>
    <w:p w14:paraId="54A7539E" w14:textId="77F63B74" w:rsidR="00356A36" w:rsidRDefault="00243D06" w:rsidP="0048434F">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Juvenile outmigrant </w:t>
      </w:r>
      <w:r w:rsidR="00023450">
        <w:rPr>
          <w:rFonts w:ascii="Times New Roman" w:hAnsi="Times New Roman" w:cs="Times New Roman"/>
          <w:sz w:val="24"/>
        </w:rPr>
        <w:t>monitoring at Pear Tree and Willow Creek provide empirical data on fish size</w:t>
      </w:r>
      <w:r w:rsidR="00E70701">
        <w:rPr>
          <w:rFonts w:ascii="Times New Roman" w:hAnsi="Times New Roman" w:cs="Times New Roman"/>
          <w:sz w:val="24"/>
        </w:rPr>
        <w:t xml:space="preserve">, abundance, and the timing of outmigration. </w:t>
      </w:r>
      <w:r w:rsidR="00E87EAC">
        <w:rPr>
          <w:rFonts w:ascii="Times New Roman" w:hAnsi="Times New Roman" w:cs="Times New Roman"/>
          <w:sz w:val="24"/>
        </w:rPr>
        <w:t>The effects of WVF on juvenile fish are extensive and well documented in Abel et al. (2022)</w:t>
      </w:r>
      <w:r w:rsidR="00E36645">
        <w:rPr>
          <w:rFonts w:ascii="Times New Roman" w:hAnsi="Times New Roman" w:cs="Times New Roman"/>
          <w:sz w:val="24"/>
        </w:rPr>
        <w:t>,</w:t>
      </w:r>
      <w:r w:rsidR="00E87EAC">
        <w:rPr>
          <w:rFonts w:ascii="Times New Roman" w:hAnsi="Times New Roman" w:cs="Times New Roman"/>
          <w:sz w:val="24"/>
        </w:rPr>
        <w:t xml:space="preserve"> </w:t>
      </w:r>
      <w:r w:rsidR="003271B6">
        <w:rPr>
          <w:rFonts w:ascii="Times New Roman" w:hAnsi="Times New Roman" w:cs="Times New Roman"/>
          <w:sz w:val="24"/>
        </w:rPr>
        <w:t xml:space="preserve">and </w:t>
      </w:r>
      <w:r w:rsidR="00E01530">
        <w:rPr>
          <w:rFonts w:ascii="Times New Roman" w:hAnsi="Times New Roman" w:cs="Times New Roman"/>
          <w:sz w:val="24"/>
        </w:rPr>
        <w:t xml:space="preserve">the effects of fish size on </w:t>
      </w:r>
      <w:r w:rsidR="00D3435B">
        <w:rPr>
          <w:rFonts w:ascii="Times New Roman" w:hAnsi="Times New Roman" w:cs="Times New Roman"/>
          <w:sz w:val="24"/>
        </w:rPr>
        <w:t xml:space="preserve">survival is well documented </w:t>
      </w:r>
      <w:r w:rsidR="003271B6">
        <w:rPr>
          <w:rFonts w:ascii="Times New Roman" w:hAnsi="Times New Roman" w:cs="Times New Roman"/>
          <w:sz w:val="24"/>
        </w:rPr>
        <w:t>throughout extensive literature on the subject spanning decades.</w:t>
      </w:r>
    </w:p>
    <w:p w14:paraId="61E6631E" w14:textId="4125CBEC" w:rsidR="003271B6" w:rsidRDefault="00F57AB6" w:rsidP="0048434F">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The SRH-2D model </w:t>
      </w:r>
      <w:r w:rsidR="00091583">
        <w:rPr>
          <w:rFonts w:ascii="Times New Roman" w:hAnsi="Times New Roman" w:cs="Times New Roman"/>
          <w:sz w:val="24"/>
        </w:rPr>
        <w:t>is regularly used by the Program and was updated last year</w:t>
      </w:r>
      <w:r w:rsidR="00C04D28">
        <w:rPr>
          <w:rFonts w:ascii="Times New Roman" w:hAnsi="Times New Roman" w:cs="Times New Roman"/>
          <w:sz w:val="24"/>
        </w:rPr>
        <w:t>. This can be used to quantify the amount of additional habitat that would be inundated</w:t>
      </w:r>
      <w:r w:rsidR="008C052D" w:rsidRPr="008C052D">
        <w:rPr>
          <w:rFonts w:ascii="Times New Roman" w:hAnsi="Times New Roman" w:cs="Times New Roman"/>
          <w:sz w:val="24"/>
        </w:rPr>
        <w:t xml:space="preserve"> </w:t>
      </w:r>
      <w:r w:rsidR="008C052D">
        <w:rPr>
          <w:rFonts w:ascii="Times New Roman" w:hAnsi="Times New Roman" w:cs="Times New Roman"/>
          <w:sz w:val="24"/>
        </w:rPr>
        <w:t>from implementation of WVF</w:t>
      </w:r>
      <w:r w:rsidR="0005381F">
        <w:rPr>
          <w:rFonts w:ascii="Times New Roman" w:hAnsi="Times New Roman" w:cs="Times New Roman"/>
          <w:sz w:val="24"/>
        </w:rPr>
        <w:t>, thus provid</w:t>
      </w:r>
      <w:r w:rsidR="008C052D">
        <w:rPr>
          <w:rFonts w:ascii="Times New Roman" w:hAnsi="Times New Roman" w:cs="Times New Roman"/>
          <w:sz w:val="24"/>
        </w:rPr>
        <w:t>ing</w:t>
      </w:r>
      <w:r w:rsidR="0005381F">
        <w:rPr>
          <w:rFonts w:ascii="Times New Roman" w:hAnsi="Times New Roman" w:cs="Times New Roman"/>
          <w:sz w:val="24"/>
        </w:rPr>
        <w:t xml:space="preserve"> physical habitat and increased food production. This model is also used </w:t>
      </w:r>
      <w:r w:rsidR="00836CE6">
        <w:rPr>
          <w:rFonts w:ascii="Times New Roman" w:hAnsi="Times New Roman" w:cs="Times New Roman"/>
          <w:sz w:val="24"/>
        </w:rPr>
        <w:t>for S3.</w:t>
      </w:r>
    </w:p>
    <w:p w14:paraId="646D9D9F" w14:textId="207AC27E" w:rsidR="00836CE6" w:rsidRDefault="00836CE6" w:rsidP="0048434F">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The S3 model </w:t>
      </w:r>
      <w:r w:rsidR="00376DDC">
        <w:rPr>
          <w:rFonts w:ascii="Times New Roman" w:hAnsi="Times New Roman" w:cs="Times New Roman"/>
          <w:sz w:val="24"/>
        </w:rPr>
        <w:t xml:space="preserve">can be ran with </w:t>
      </w:r>
      <w:r w:rsidR="00D609B8">
        <w:rPr>
          <w:rFonts w:ascii="Times New Roman" w:hAnsi="Times New Roman" w:cs="Times New Roman"/>
          <w:sz w:val="24"/>
        </w:rPr>
        <w:t xml:space="preserve">observed flows, temperatures, and fish abundance inputs such that an accurate picture </w:t>
      </w:r>
      <w:r w:rsidR="008F4352">
        <w:rPr>
          <w:rFonts w:ascii="Times New Roman" w:hAnsi="Times New Roman" w:cs="Times New Roman"/>
          <w:sz w:val="24"/>
        </w:rPr>
        <w:t xml:space="preserve">of the effects of WVF on the growth and movement of juvenile Chinook Salmon resulting from a WVF implementation can be modeled. Importantly, however, S3 does not </w:t>
      </w:r>
      <w:r w:rsidR="00666229">
        <w:rPr>
          <w:rFonts w:ascii="Times New Roman" w:hAnsi="Times New Roman" w:cs="Times New Roman"/>
          <w:sz w:val="24"/>
        </w:rPr>
        <w:t>incorporate increased food production that may result from WVF implementation.</w:t>
      </w:r>
    </w:p>
    <w:p w14:paraId="4E1CBEAC" w14:textId="308CCECB" w:rsidR="00593193" w:rsidRDefault="00593193" w:rsidP="0048434F">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Adult </w:t>
      </w:r>
      <w:r w:rsidR="00BE196C">
        <w:rPr>
          <w:rFonts w:ascii="Times New Roman" w:hAnsi="Times New Roman" w:cs="Times New Roman"/>
          <w:sz w:val="24"/>
        </w:rPr>
        <w:t xml:space="preserve">harvest and </w:t>
      </w:r>
      <w:r>
        <w:rPr>
          <w:rFonts w:ascii="Times New Roman" w:hAnsi="Times New Roman" w:cs="Times New Roman"/>
          <w:sz w:val="24"/>
        </w:rPr>
        <w:t xml:space="preserve">escapement monitoring has been in place for more than 40 years and will continue for the foreseeable future. These data </w:t>
      </w:r>
      <w:r w:rsidR="005D792D">
        <w:rPr>
          <w:rFonts w:ascii="Times New Roman" w:hAnsi="Times New Roman" w:cs="Times New Roman"/>
          <w:sz w:val="24"/>
        </w:rPr>
        <w:t xml:space="preserve">will be critical in the future to quantify the effects of WVF on </w:t>
      </w:r>
      <w:r w:rsidR="00757649">
        <w:rPr>
          <w:rFonts w:ascii="Times New Roman" w:hAnsi="Times New Roman" w:cs="Times New Roman"/>
          <w:sz w:val="24"/>
        </w:rPr>
        <w:t xml:space="preserve">juvenile productivity (juveniles or biomass per spawner) and </w:t>
      </w:r>
      <w:r w:rsidR="005D792D">
        <w:rPr>
          <w:rFonts w:ascii="Times New Roman" w:hAnsi="Times New Roman" w:cs="Times New Roman"/>
          <w:sz w:val="24"/>
        </w:rPr>
        <w:t>juvenile survival downstream of the Trinity River</w:t>
      </w:r>
      <w:r w:rsidR="00757649">
        <w:rPr>
          <w:rFonts w:ascii="Times New Roman" w:hAnsi="Times New Roman" w:cs="Times New Roman"/>
          <w:sz w:val="24"/>
        </w:rPr>
        <w:t xml:space="preserve">, </w:t>
      </w:r>
      <w:r w:rsidR="001627D5">
        <w:rPr>
          <w:rFonts w:ascii="Times New Roman" w:hAnsi="Times New Roman" w:cs="Times New Roman"/>
          <w:sz w:val="24"/>
        </w:rPr>
        <w:t>ultimately resulting in adult returns.</w:t>
      </w:r>
    </w:p>
    <w:p w14:paraId="06F068EA" w14:textId="390AA170" w:rsidR="00666229" w:rsidRPr="0048434F" w:rsidRDefault="000C0908" w:rsidP="0048434F">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Benthic macroinvertebrate samples were taken and analyzed in inundated floodplains during WY23 WVF implementation</w:t>
      </w:r>
      <w:r w:rsidR="00ED70A3">
        <w:rPr>
          <w:rFonts w:ascii="Times New Roman" w:hAnsi="Times New Roman" w:cs="Times New Roman"/>
          <w:sz w:val="24"/>
        </w:rPr>
        <w:t xml:space="preserve"> to directly measure the effects of WVF on food web development. The analy</w:t>
      </w:r>
      <w:r w:rsidR="00A223A3">
        <w:rPr>
          <w:rFonts w:ascii="Times New Roman" w:hAnsi="Times New Roman" w:cs="Times New Roman"/>
          <w:sz w:val="24"/>
        </w:rPr>
        <w:t xml:space="preserve">sis is ongoing, and sample collection is planned for WY24 if </w:t>
      </w:r>
      <w:r w:rsidR="00867FAA">
        <w:rPr>
          <w:rFonts w:ascii="Times New Roman" w:hAnsi="Times New Roman" w:cs="Times New Roman"/>
          <w:sz w:val="24"/>
        </w:rPr>
        <w:t>elevated winter baseflows are</w:t>
      </w:r>
      <w:r w:rsidR="00A223A3">
        <w:rPr>
          <w:rFonts w:ascii="Times New Roman" w:hAnsi="Times New Roman" w:cs="Times New Roman"/>
          <w:sz w:val="24"/>
        </w:rPr>
        <w:t xml:space="preserve"> implemented again. Sample processing and analysis would need additional funding</w:t>
      </w:r>
      <w:r w:rsidR="003B0FD1">
        <w:rPr>
          <w:rFonts w:ascii="Times New Roman" w:hAnsi="Times New Roman" w:cs="Times New Roman"/>
          <w:sz w:val="24"/>
        </w:rPr>
        <w:t xml:space="preserve">, and a </w:t>
      </w:r>
      <w:r w:rsidR="00921F49">
        <w:rPr>
          <w:rFonts w:ascii="Times New Roman" w:hAnsi="Times New Roman" w:cs="Times New Roman"/>
          <w:sz w:val="24"/>
        </w:rPr>
        <w:t>solicitation for that additional work is currently in development.</w:t>
      </w:r>
    </w:p>
    <w:p w14:paraId="7C641560" w14:textId="77777777" w:rsidR="00F962DD" w:rsidRDefault="00F962DD" w:rsidP="008E5953">
      <w:pPr>
        <w:spacing w:after="0"/>
        <w:rPr>
          <w:rFonts w:ascii="Times New Roman" w:hAnsi="Times New Roman" w:cs="Times New Roman"/>
          <w:sz w:val="24"/>
        </w:rPr>
      </w:pPr>
    </w:p>
    <w:p w14:paraId="3D7CA86E" w14:textId="1751DDFA" w:rsidR="00F962DD" w:rsidRPr="00157D61" w:rsidRDefault="00491470" w:rsidP="008E5953">
      <w:pPr>
        <w:spacing w:after="0"/>
        <w:rPr>
          <w:rFonts w:ascii="Times New Roman" w:hAnsi="Times New Roman" w:cs="Times New Roman"/>
          <w:b/>
          <w:bCs/>
          <w:sz w:val="24"/>
        </w:rPr>
      </w:pPr>
      <w:r w:rsidRPr="00157D61">
        <w:rPr>
          <w:rFonts w:ascii="Times New Roman" w:hAnsi="Times New Roman" w:cs="Times New Roman"/>
          <w:b/>
          <w:bCs/>
          <w:sz w:val="24"/>
          <w:u w:val="single"/>
        </w:rPr>
        <w:t>Literature Cited</w:t>
      </w:r>
    </w:p>
    <w:p w14:paraId="1172D6FB" w14:textId="77777777" w:rsidR="00491470" w:rsidRDefault="00491470" w:rsidP="008E5953">
      <w:pPr>
        <w:spacing w:after="0"/>
        <w:rPr>
          <w:rFonts w:ascii="Times New Roman" w:hAnsi="Times New Roman" w:cs="Times New Roman"/>
          <w:sz w:val="24"/>
        </w:rPr>
      </w:pPr>
    </w:p>
    <w:p w14:paraId="1CD0B467" w14:textId="53A477A0" w:rsidR="00491470" w:rsidRDefault="00491470" w:rsidP="00491470">
      <w:pPr>
        <w:spacing w:after="0"/>
        <w:ind w:left="720" w:hanging="720"/>
        <w:rPr>
          <w:rFonts w:ascii="Times New Roman" w:hAnsi="Times New Roman" w:cs="Times New Roman"/>
          <w:sz w:val="24"/>
        </w:rPr>
      </w:pPr>
      <w:r>
        <w:rPr>
          <w:rFonts w:ascii="Times New Roman" w:hAnsi="Times New Roman" w:cs="Times New Roman"/>
          <w:sz w:val="24"/>
        </w:rPr>
        <w:t xml:space="preserve">Abel, </w:t>
      </w:r>
      <w:r w:rsidR="00682349">
        <w:rPr>
          <w:rFonts w:ascii="Times New Roman" w:hAnsi="Times New Roman" w:cs="Times New Roman"/>
          <w:sz w:val="24"/>
        </w:rPr>
        <w:t xml:space="preserve">C. E., K. De Juilio, K. T. Lindke, S. Naman, and E. E. Thorn. 2022. </w:t>
      </w:r>
      <w:r w:rsidR="00483227">
        <w:rPr>
          <w:rFonts w:ascii="Times New Roman" w:hAnsi="Times New Roman" w:cs="Times New Roman"/>
          <w:sz w:val="24"/>
        </w:rPr>
        <w:t xml:space="preserve">Trinity River Flow Project. Final Report, August. </w:t>
      </w:r>
      <w:r w:rsidR="008F7400">
        <w:rPr>
          <w:rFonts w:ascii="Times New Roman" w:hAnsi="Times New Roman" w:cs="Times New Roman"/>
          <w:sz w:val="24"/>
        </w:rPr>
        <w:t xml:space="preserve">Prepared for Trinity River Restoration Program. </w:t>
      </w:r>
      <w:hyperlink r:id="rId16" w:history="1">
        <w:r w:rsidR="009901E4" w:rsidRPr="00301CFF">
          <w:rPr>
            <w:rStyle w:val="Hyperlink"/>
            <w:rFonts w:ascii="Times New Roman" w:hAnsi="Times New Roman" w:cs="Times New Roman"/>
            <w:sz w:val="24"/>
          </w:rPr>
          <w:t>https://www.trrp.net/library/document/?id=2566</w:t>
        </w:r>
      </w:hyperlink>
      <w:r w:rsidR="00376B46">
        <w:rPr>
          <w:rFonts w:ascii="Times New Roman" w:hAnsi="Times New Roman" w:cs="Times New Roman"/>
          <w:sz w:val="24"/>
        </w:rPr>
        <w:t>.</w:t>
      </w:r>
    </w:p>
    <w:p w14:paraId="1FC3B6D4" w14:textId="77777777" w:rsidR="009901E4" w:rsidRDefault="009901E4" w:rsidP="00491470">
      <w:pPr>
        <w:spacing w:after="0"/>
        <w:ind w:left="720" w:hanging="720"/>
        <w:rPr>
          <w:rFonts w:ascii="Times New Roman" w:hAnsi="Times New Roman" w:cs="Times New Roman"/>
          <w:sz w:val="24"/>
        </w:rPr>
      </w:pPr>
    </w:p>
    <w:p w14:paraId="7224D7A3" w14:textId="15771D6F" w:rsidR="000A3DFF" w:rsidRDefault="000A3DFF" w:rsidP="00491470">
      <w:pPr>
        <w:spacing w:after="0"/>
        <w:ind w:left="720" w:hanging="720"/>
        <w:rPr>
          <w:rFonts w:ascii="Times New Roman" w:hAnsi="Times New Roman" w:cs="Times New Roman"/>
          <w:sz w:val="24"/>
        </w:rPr>
      </w:pPr>
      <w:r>
        <w:rPr>
          <w:rFonts w:ascii="Times New Roman" w:hAnsi="Times New Roman" w:cs="Times New Roman"/>
          <w:sz w:val="24"/>
        </w:rPr>
        <w:t>Beamish, R. J. and C. Mahnken. 2001. A critical size and period hypothesis to explain natural regulation of salmon abundance and the linkage to climate and climate change. Progress in Oceanography 49:</w:t>
      </w:r>
      <w:r w:rsidR="00727F55">
        <w:rPr>
          <w:rFonts w:ascii="Times New Roman" w:hAnsi="Times New Roman" w:cs="Times New Roman"/>
          <w:sz w:val="24"/>
        </w:rPr>
        <w:t xml:space="preserve"> 423-437.</w:t>
      </w:r>
    </w:p>
    <w:p w14:paraId="3CF30090" w14:textId="77777777" w:rsidR="00727F55" w:rsidRDefault="00727F55" w:rsidP="00491470">
      <w:pPr>
        <w:spacing w:after="0"/>
        <w:ind w:left="720" w:hanging="720"/>
        <w:rPr>
          <w:rFonts w:ascii="Times New Roman" w:hAnsi="Times New Roman" w:cs="Times New Roman"/>
          <w:sz w:val="24"/>
        </w:rPr>
      </w:pPr>
    </w:p>
    <w:p w14:paraId="518D5427" w14:textId="3C89FA90" w:rsidR="00727F55" w:rsidRPr="00491470" w:rsidRDefault="00727F55" w:rsidP="00491470">
      <w:pPr>
        <w:spacing w:after="0"/>
        <w:ind w:left="720" w:hanging="720"/>
        <w:rPr>
          <w:rFonts w:ascii="Times New Roman" w:hAnsi="Times New Roman" w:cs="Times New Roman"/>
          <w:sz w:val="24"/>
        </w:rPr>
      </w:pPr>
      <w:r>
        <w:rPr>
          <w:rFonts w:ascii="Times New Roman" w:hAnsi="Times New Roman" w:cs="Times New Roman"/>
          <w:sz w:val="24"/>
        </w:rPr>
        <w:t>Pearcy. W. G. 1992. Ocean ecology of the North Pacific salmonids. University of Washington</w:t>
      </w:r>
      <w:r w:rsidR="00815248">
        <w:rPr>
          <w:rFonts w:ascii="Times New Roman" w:hAnsi="Times New Roman" w:cs="Times New Roman"/>
          <w:sz w:val="24"/>
        </w:rPr>
        <w:t xml:space="preserve"> Press, Seattle: Washington Sea Grant Program.</w:t>
      </w:r>
    </w:p>
    <w:sectPr w:rsidR="00727F55" w:rsidRPr="004914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B35F2"/>
    <w:multiLevelType w:val="hybridMultilevel"/>
    <w:tmpl w:val="81225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D70CCB"/>
    <w:multiLevelType w:val="hybridMultilevel"/>
    <w:tmpl w:val="7D769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580456"/>
    <w:multiLevelType w:val="hybridMultilevel"/>
    <w:tmpl w:val="F66AC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066F21"/>
    <w:multiLevelType w:val="hybridMultilevel"/>
    <w:tmpl w:val="DFB01D86"/>
    <w:lvl w:ilvl="0" w:tplc="85A6D0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8914579">
    <w:abstractNumId w:val="3"/>
  </w:num>
  <w:num w:numId="2" w16cid:durableId="1380325318">
    <w:abstractNumId w:val="2"/>
  </w:num>
  <w:num w:numId="3" w16cid:durableId="314603549">
    <w:abstractNumId w:val="1"/>
  </w:num>
  <w:num w:numId="4" w16cid:durableId="904753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61"/>
    <w:rsid w:val="00001767"/>
    <w:rsid w:val="00006AF6"/>
    <w:rsid w:val="00007D49"/>
    <w:rsid w:val="00015849"/>
    <w:rsid w:val="0002211B"/>
    <w:rsid w:val="00022387"/>
    <w:rsid w:val="0002322D"/>
    <w:rsid w:val="00023450"/>
    <w:rsid w:val="00027441"/>
    <w:rsid w:val="00030B19"/>
    <w:rsid w:val="00036F90"/>
    <w:rsid w:val="00046F4A"/>
    <w:rsid w:val="00051F5A"/>
    <w:rsid w:val="0005381F"/>
    <w:rsid w:val="00056A15"/>
    <w:rsid w:val="000605D3"/>
    <w:rsid w:val="0006071C"/>
    <w:rsid w:val="00061076"/>
    <w:rsid w:val="0006165B"/>
    <w:rsid w:val="00064040"/>
    <w:rsid w:val="00066355"/>
    <w:rsid w:val="0008200F"/>
    <w:rsid w:val="00091583"/>
    <w:rsid w:val="00095BB1"/>
    <w:rsid w:val="00097589"/>
    <w:rsid w:val="000976DE"/>
    <w:rsid w:val="000A1760"/>
    <w:rsid w:val="000A3DFF"/>
    <w:rsid w:val="000A5F61"/>
    <w:rsid w:val="000B5215"/>
    <w:rsid w:val="000C0908"/>
    <w:rsid w:val="000C305F"/>
    <w:rsid w:val="000C52C4"/>
    <w:rsid w:val="000C5343"/>
    <w:rsid w:val="000C6967"/>
    <w:rsid w:val="000C7FB4"/>
    <w:rsid w:val="000D2E98"/>
    <w:rsid w:val="000D370E"/>
    <w:rsid w:val="000E4282"/>
    <w:rsid w:val="00100192"/>
    <w:rsid w:val="00101370"/>
    <w:rsid w:val="00104CD6"/>
    <w:rsid w:val="00105646"/>
    <w:rsid w:val="001166E4"/>
    <w:rsid w:val="0013043C"/>
    <w:rsid w:val="00132A2D"/>
    <w:rsid w:val="00147578"/>
    <w:rsid w:val="00150B7D"/>
    <w:rsid w:val="00157D61"/>
    <w:rsid w:val="001627D5"/>
    <w:rsid w:val="0017446A"/>
    <w:rsid w:val="00176ABB"/>
    <w:rsid w:val="0018425C"/>
    <w:rsid w:val="0019186A"/>
    <w:rsid w:val="001B0B81"/>
    <w:rsid w:val="001B78D4"/>
    <w:rsid w:val="001C21E4"/>
    <w:rsid w:val="001C7598"/>
    <w:rsid w:val="001D513A"/>
    <w:rsid w:val="001D54C0"/>
    <w:rsid w:val="001D6706"/>
    <w:rsid w:val="001E1D17"/>
    <w:rsid w:val="001F3DA5"/>
    <w:rsid w:val="001F7C89"/>
    <w:rsid w:val="0020176B"/>
    <w:rsid w:val="00203E4A"/>
    <w:rsid w:val="0020494D"/>
    <w:rsid w:val="002112AA"/>
    <w:rsid w:val="00213F95"/>
    <w:rsid w:val="00225D9F"/>
    <w:rsid w:val="0022787C"/>
    <w:rsid w:val="00235448"/>
    <w:rsid w:val="00236BBD"/>
    <w:rsid w:val="00240084"/>
    <w:rsid w:val="00243D06"/>
    <w:rsid w:val="00244744"/>
    <w:rsid w:val="0024561C"/>
    <w:rsid w:val="002467BE"/>
    <w:rsid w:val="0025308A"/>
    <w:rsid w:val="00253164"/>
    <w:rsid w:val="00253403"/>
    <w:rsid w:val="00260110"/>
    <w:rsid w:val="00262534"/>
    <w:rsid w:val="00264032"/>
    <w:rsid w:val="00266020"/>
    <w:rsid w:val="0026778E"/>
    <w:rsid w:val="00274CAB"/>
    <w:rsid w:val="00276333"/>
    <w:rsid w:val="00276ADB"/>
    <w:rsid w:val="002870C7"/>
    <w:rsid w:val="00293FEA"/>
    <w:rsid w:val="002A375C"/>
    <w:rsid w:val="002A64EB"/>
    <w:rsid w:val="002B29EC"/>
    <w:rsid w:val="002B33D5"/>
    <w:rsid w:val="002B3A25"/>
    <w:rsid w:val="002B4B48"/>
    <w:rsid w:val="002B5DD8"/>
    <w:rsid w:val="002C3EB7"/>
    <w:rsid w:val="002C732C"/>
    <w:rsid w:val="002D0018"/>
    <w:rsid w:val="002D346E"/>
    <w:rsid w:val="002D3A10"/>
    <w:rsid w:val="002D671C"/>
    <w:rsid w:val="002D68B2"/>
    <w:rsid w:val="002D7AEB"/>
    <w:rsid w:val="002E4180"/>
    <w:rsid w:val="002E5214"/>
    <w:rsid w:val="002E60AE"/>
    <w:rsid w:val="002E76F7"/>
    <w:rsid w:val="002F06D4"/>
    <w:rsid w:val="00300AE6"/>
    <w:rsid w:val="00301291"/>
    <w:rsid w:val="003052EB"/>
    <w:rsid w:val="0030649C"/>
    <w:rsid w:val="00315FB4"/>
    <w:rsid w:val="00322F46"/>
    <w:rsid w:val="0032715A"/>
    <w:rsid w:val="003271B6"/>
    <w:rsid w:val="0033434D"/>
    <w:rsid w:val="00334F33"/>
    <w:rsid w:val="003367F3"/>
    <w:rsid w:val="0033748D"/>
    <w:rsid w:val="003462DD"/>
    <w:rsid w:val="00347703"/>
    <w:rsid w:val="00350FD0"/>
    <w:rsid w:val="00351B9E"/>
    <w:rsid w:val="00356A36"/>
    <w:rsid w:val="003647E1"/>
    <w:rsid w:val="003666CD"/>
    <w:rsid w:val="00367C03"/>
    <w:rsid w:val="003725F1"/>
    <w:rsid w:val="00376B46"/>
    <w:rsid w:val="00376DDC"/>
    <w:rsid w:val="003779F7"/>
    <w:rsid w:val="003826F3"/>
    <w:rsid w:val="003835DA"/>
    <w:rsid w:val="003865AC"/>
    <w:rsid w:val="00396B5E"/>
    <w:rsid w:val="003A461F"/>
    <w:rsid w:val="003A5ADD"/>
    <w:rsid w:val="003B0FD1"/>
    <w:rsid w:val="003B16A9"/>
    <w:rsid w:val="003B2757"/>
    <w:rsid w:val="003C4F06"/>
    <w:rsid w:val="003D1E25"/>
    <w:rsid w:val="003D2725"/>
    <w:rsid w:val="003D3942"/>
    <w:rsid w:val="003D7089"/>
    <w:rsid w:val="003E03E4"/>
    <w:rsid w:val="003E4FA3"/>
    <w:rsid w:val="003F44F2"/>
    <w:rsid w:val="00402910"/>
    <w:rsid w:val="00412754"/>
    <w:rsid w:val="00422757"/>
    <w:rsid w:val="00423BDE"/>
    <w:rsid w:val="00423EBA"/>
    <w:rsid w:val="00424CF5"/>
    <w:rsid w:val="00426696"/>
    <w:rsid w:val="004278E0"/>
    <w:rsid w:val="00431C60"/>
    <w:rsid w:val="00432DD9"/>
    <w:rsid w:val="00433A03"/>
    <w:rsid w:val="00433F8D"/>
    <w:rsid w:val="00444034"/>
    <w:rsid w:val="00445E76"/>
    <w:rsid w:val="004507E9"/>
    <w:rsid w:val="00451CEE"/>
    <w:rsid w:val="004568F8"/>
    <w:rsid w:val="0047061B"/>
    <w:rsid w:val="00475BCC"/>
    <w:rsid w:val="00483227"/>
    <w:rsid w:val="0048434F"/>
    <w:rsid w:val="00486B43"/>
    <w:rsid w:val="004912D9"/>
    <w:rsid w:val="00491470"/>
    <w:rsid w:val="00495A9C"/>
    <w:rsid w:val="004A05E7"/>
    <w:rsid w:val="004A2766"/>
    <w:rsid w:val="004A3340"/>
    <w:rsid w:val="004A335C"/>
    <w:rsid w:val="004B3161"/>
    <w:rsid w:val="004B708F"/>
    <w:rsid w:val="004C7018"/>
    <w:rsid w:val="004D00AC"/>
    <w:rsid w:val="004D0FD1"/>
    <w:rsid w:val="004D38A4"/>
    <w:rsid w:val="004D3F11"/>
    <w:rsid w:val="004D63F6"/>
    <w:rsid w:val="004E037E"/>
    <w:rsid w:val="004F0BD9"/>
    <w:rsid w:val="004F65AE"/>
    <w:rsid w:val="00505FD7"/>
    <w:rsid w:val="00506129"/>
    <w:rsid w:val="005065E9"/>
    <w:rsid w:val="00514855"/>
    <w:rsid w:val="00516C1F"/>
    <w:rsid w:val="005205CD"/>
    <w:rsid w:val="00524467"/>
    <w:rsid w:val="0052695F"/>
    <w:rsid w:val="00531BB0"/>
    <w:rsid w:val="0053221B"/>
    <w:rsid w:val="00540B1C"/>
    <w:rsid w:val="00543FAB"/>
    <w:rsid w:val="00552937"/>
    <w:rsid w:val="00560EF7"/>
    <w:rsid w:val="00562388"/>
    <w:rsid w:val="0056310E"/>
    <w:rsid w:val="00563D00"/>
    <w:rsid w:val="0057154E"/>
    <w:rsid w:val="00571F17"/>
    <w:rsid w:val="00574881"/>
    <w:rsid w:val="00593193"/>
    <w:rsid w:val="005949C1"/>
    <w:rsid w:val="005953D0"/>
    <w:rsid w:val="005A2290"/>
    <w:rsid w:val="005A5233"/>
    <w:rsid w:val="005A677F"/>
    <w:rsid w:val="005B57A7"/>
    <w:rsid w:val="005B63AE"/>
    <w:rsid w:val="005C3FBE"/>
    <w:rsid w:val="005D199E"/>
    <w:rsid w:val="005D347E"/>
    <w:rsid w:val="005D364C"/>
    <w:rsid w:val="005D792D"/>
    <w:rsid w:val="005E1229"/>
    <w:rsid w:val="005E3087"/>
    <w:rsid w:val="005E3212"/>
    <w:rsid w:val="005E4E12"/>
    <w:rsid w:val="005E6A42"/>
    <w:rsid w:val="00602D2B"/>
    <w:rsid w:val="006030A5"/>
    <w:rsid w:val="00603A6C"/>
    <w:rsid w:val="00604501"/>
    <w:rsid w:val="00605676"/>
    <w:rsid w:val="00615782"/>
    <w:rsid w:val="00622CBB"/>
    <w:rsid w:val="00625EEC"/>
    <w:rsid w:val="0062725D"/>
    <w:rsid w:val="00631520"/>
    <w:rsid w:val="00633963"/>
    <w:rsid w:val="00636076"/>
    <w:rsid w:val="006404E1"/>
    <w:rsid w:val="0064675C"/>
    <w:rsid w:val="00646928"/>
    <w:rsid w:val="006516A1"/>
    <w:rsid w:val="00654765"/>
    <w:rsid w:val="00666229"/>
    <w:rsid w:val="00671C9C"/>
    <w:rsid w:val="00673689"/>
    <w:rsid w:val="00682349"/>
    <w:rsid w:val="0069059B"/>
    <w:rsid w:val="006A0ADB"/>
    <w:rsid w:val="006A0DF2"/>
    <w:rsid w:val="006A4524"/>
    <w:rsid w:val="006A7731"/>
    <w:rsid w:val="006B1BC2"/>
    <w:rsid w:val="006C0CC5"/>
    <w:rsid w:val="006C6F9B"/>
    <w:rsid w:val="006D28F1"/>
    <w:rsid w:val="006D3CF8"/>
    <w:rsid w:val="006D53F1"/>
    <w:rsid w:val="006D6077"/>
    <w:rsid w:val="006D62F2"/>
    <w:rsid w:val="006E0994"/>
    <w:rsid w:val="006E7E99"/>
    <w:rsid w:val="006F4CCB"/>
    <w:rsid w:val="006F6878"/>
    <w:rsid w:val="006F7893"/>
    <w:rsid w:val="007019ED"/>
    <w:rsid w:val="0070650F"/>
    <w:rsid w:val="00710CDE"/>
    <w:rsid w:val="00712B3A"/>
    <w:rsid w:val="00716C0C"/>
    <w:rsid w:val="0072704C"/>
    <w:rsid w:val="00727F55"/>
    <w:rsid w:val="007326CE"/>
    <w:rsid w:val="00736B9B"/>
    <w:rsid w:val="00743913"/>
    <w:rsid w:val="00757649"/>
    <w:rsid w:val="00763FDA"/>
    <w:rsid w:val="00764139"/>
    <w:rsid w:val="00766B77"/>
    <w:rsid w:val="007746DE"/>
    <w:rsid w:val="007875FF"/>
    <w:rsid w:val="007A3FF3"/>
    <w:rsid w:val="007A4863"/>
    <w:rsid w:val="007A5596"/>
    <w:rsid w:val="007B0792"/>
    <w:rsid w:val="007D2DCD"/>
    <w:rsid w:val="007E0525"/>
    <w:rsid w:val="007E46EC"/>
    <w:rsid w:val="007E57F8"/>
    <w:rsid w:val="007E5862"/>
    <w:rsid w:val="007F4F84"/>
    <w:rsid w:val="007F788F"/>
    <w:rsid w:val="00803B84"/>
    <w:rsid w:val="008105A8"/>
    <w:rsid w:val="00810B0F"/>
    <w:rsid w:val="00815248"/>
    <w:rsid w:val="00815E2C"/>
    <w:rsid w:val="008222EF"/>
    <w:rsid w:val="0082453C"/>
    <w:rsid w:val="008313B9"/>
    <w:rsid w:val="00836CE6"/>
    <w:rsid w:val="00841F1E"/>
    <w:rsid w:val="00844879"/>
    <w:rsid w:val="00845969"/>
    <w:rsid w:val="00847655"/>
    <w:rsid w:val="00847FEB"/>
    <w:rsid w:val="008528BD"/>
    <w:rsid w:val="00854CB1"/>
    <w:rsid w:val="00860DB1"/>
    <w:rsid w:val="00862A19"/>
    <w:rsid w:val="0086534E"/>
    <w:rsid w:val="008653A4"/>
    <w:rsid w:val="00867FAA"/>
    <w:rsid w:val="00873FC9"/>
    <w:rsid w:val="0087605D"/>
    <w:rsid w:val="00877500"/>
    <w:rsid w:val="00877B5F"/>
    <w:rsid w:val="00881C37"/>
    <w:rsid w:val="00890391"/>
    <w:rsid w:val="00895B61"/>
    <w:rsid w:val="008A5309"/>
    <w:rsid w:val="008B11AC"/>
    <w:rsid w:val="008B6555"/>
    <w:rsid w:val="008B701B"/>
    <w:rsid w:val="008C052D"/>
    <w:rsid w:val="008C5E9F"/>
    <w:rsid w:val="008D43B5"/>
    <w:rsid w:val="008E5953"/>
    <w:rsid w:val="008F4352"/>
    <w:rsid w:val="008F45BB"/>
    <w:rsid w:val="008F7400"/>
    <w:rsid w:val="009011FF"/>
    <w:rsid w:val="00906EA8"/>
    <w:rsid w:val="00914176"/>
    <w:rsid w:val="0091586A"/>
    <w:rsid w:val="00920AD5"/>
    <w:rsid w:val="00921F49"/>
    <w:rsid w:val="00924E93"/>
    <w:rsid w:val="00925A39"/>
    <w:rsid w:val="00931A76"/>
    <w:rsid w:val="00941B29"/>
    <w:rsid w:val="00942C2B"/>
    <w:rsid w:val="00944FFD"/>
    <w:rsid w:val="009471F3"/>
    <w:rsid w:val="009556CF"/>
    <w:rsid w:val="0096758E"/>
    <w:rsid w:val="0096798D"/>
    <w:rsid w:val="00972AE1"/>
    <w:rsid w:val="0097645F"/>
    <w:rsid w:val="00980D8A"/>
    <w:rsid w:val="009901E4"/>
    <w:rsid w:val="0099070A"/>
    <w:rsid w:val="009A11FF"/>
    <w:rsid w:val="009A198C"/>
    <w:rsid w:val="009A3D9F"/>
    <w:rsid w:val="009A6229"/>
    <w:rsid w:val="009A710E"/>
    <w:rsid w:val="009A71DF"/>
    <w:rsid w:val="009B603F"/>
    <w:rsid w:val="009B6BCE"/>
    <w:rsid w:val="009D2196"/>
    <w:rsid w:val="009E0924"/>
    <w:rsid w:val="009E2E3D"/>
    <w:rsid w:val="009E44B8"/>
    <w:rsid w:val="009E56D3"/>
    <w:rsid w:val="009F1A0C"/>
    <w:rsid w:val="00A02785"/>
    <w:rsid w:val="00A104FE"/>
    <w:rsid w:val="00A11F93"/>
    <w:rsid w:val="00A210B5"/>
    <w:rsid w:val="00A223A3"/>
    <w:rsid w:val="00A25090"/>
    <w:rsid w:val="00A251ED"/>
    <w:rsid w:val="00A25238"/>
    <w:rsid w:val="00A34221"/>
    <w:rsid w:val="00A41F2A"/>
    <w:rsid w:val="00A45948"/>
    <w:rsid w:val="00A45E92"/>
    <w:rsid w:val="00A55AD2"/>
    <w:rsid w:val="00A560FD"/>
    <w:rsid w:val="00A61EEF"/>
    <w:rsid w:val="00A65CDB"/>
    <w:rsid w:val="00A66616"/>
    <w:rsid w:val="00A66A0D"/>
    <w:rsid w:val="00A66BC5"/>
    <w:rsid w:val="00A703E2"/>
    <w:rsid w:val="00A7149D"/>
    <w:rsid w:val="00A71DA4"/>
    <w:rsid w:val="00A74424"/>
    <w:rsid w:val="00A914AA"/>
    <w:rsid w:val="00A91BDF"/>
    <w:rsid w:val="00A9520D"/>
    <w:rsid w:val="00AA1562"/>
    <w:rsid w:val="00AA24C7"/>
    <w:rsid w:val="00AB3512"/>
    <w:rsid w:val="00AC423F"/>
    <w:rsid w:val="00AC6CA0"/>
    <w:rsid w:val="00AC75A6"/>
    <w:rsid w:val="00AD04AA"/>
    <w:rsid w:val="00AD202F"/>
    <w:rsid w:val="00AD2D67"/>
    <w:rsid w:val="00AE2F24"/>
    <w:rsid w:val="00AE3AB6"/>
    <w:rsid w:val="00AF20B8"/>
    <w:rsid w:val="00AF54D0"/>
    <w:rsid w:val="00AF5684"/>
    <w:rsid w:val="00AF602F"/>
    <w:rsid w:val="00B007BB"/>
    <w:rsid w:val="00B05555"/>
    <w:rsid w:val="00B05CB7"/>
    <w:rsid w:val="00B07710"/>
    <w:rsid w:val="00B101C9"/>
    <w:rsid w:val="00B12C80"/>
    <w:rsid w:val="00B15E61"/>
    <w:rsid w:val="00B20F6E"/>
    <w:rsid w:val="00B25A92"/>
    <w:rsid w:val="00B25FCE"/>
    <w:rsid w:val="00B31670"/>
    <w:rsid w:val="00B36DB6"/>
    <w:rsid w:val="00B41188"/>
    <w:rsid w:val="00B41922"/>
    <w:rsid w:val="00B44BAE"/>
    <w:rsid w:val="00B4747B"/>
    <w:rsid w:val="00B518A3"/>
    <w:rsid w:val="00B5397D"/>
    <w:rsid w:val="00B615FD"/>
    <w:rsid w:val="00B74953"/>
    <w:rsid w:val="00B749E3"/>
    <w:rsid w:val="00B76953"/>
    <w:rsid w:val="00B821E3"/>
    <w:rsid w:val="00B855BB"/>
    <w:rsid w:val="00B910C8"/>
    <w:rsid w:val="00B96FF3"/>
    <w:rsid w:val="00BA7481"/>
    <w:rsid w:val="00BB6B40"/>
    <w:rsid w:val="00BC0F6B"/>
    <w:rsid w:val="00BD3483"/>
    <w:rsid w:val="00BD53E6"/>
    <w:rsid w:val="00BD57E9"/>
    <w:rsid w:val="00BE196C"/>
    <w:rsid w:val="00BE27B5"/>
    <w:rsid w:val="00BE2E87"/>
    <w:rsid w:val="00BE547A"/>
    <w:rsid w:val="00C04D28"/>
    <w:rsid w:val="00C23B90"/>
    <w:rsid w:val="00C24E12"/>
    <w:rsid w:val="00C304AF"/>
    <w:rsid w:val="00C3053D"/>
    <w:rsid w:val="00C3384F"/>
    <w:rsid w:val="00C35130"/>
    <w:rsid w:val="00C42385"/>
    <w:rsid w:val="00C47C55"/>
    <w:rsid w:val="00C51D86"/>
    <w:rsid w:val="00C6658B"/>
    <w:rsid w:val="00C7129B"/>
    <w:rsid w:val="00C741EA"/>
    <w:rsid w:val="00C817AF"/>
    <w:rsid w:val="00C81F42"/>
    <w:rsid w:val="00C8731A"/>
    <w:rsid w:val="00C93D0E"/>
    <w:rsid w:val="00C971E6"/>
    <w:rsid w:val="00CA2BD3"/>
    <w:rsid w:val="00CA65DE"/>
    <w:rsid w:val="00CA6D9D"/>
    <w:rsid w:val="00CB5876"/>
    <w:rsid w:val="00CC0D74"/>
    <w:rsid w:val="00CC5950"/>
    <w:rsid w:val="00CD0F6F"/>
    <w:rsid w:val="00CE1461"/>
    <w:rsid w:val="00CE1F38"/>
    <w:rsid w:val="00CE3036"/>
    <w:rsid w:val="00CF112B"/>
    <w:rsid w:val="00CF4EC7"/>
    <w:rsid w:val="00D0179B"/>
    <w:rsid w:val="00D03691"/>
    <w:rsid w:val="00D10204"/>
    <w:rsid w:val="00D25AB8"/>
    <w:rsid w:val="00D26EFC"/>
    <w:rsid w:val="00D32926"/>
    <w:rsid w:val="00D3435B"/>
    <w:rsid w:val="00D345F1"/>
    <w:rsid w:val="00D36EA4"/>
    <w:rsid w:val="00D40E96"/>
    <w:rsid w:val="00D53BB1"/>
    <w:rsid w:val="00D552FC"/>
    <w:rsid w:val="00D55C2C"/>
    <w:rsid w:val="00D609B8"/>
    <w:rsid w:val="00D61CA4"/>
    <w:rsid w:val="00D62092"/>
    <w:rsid w:val="00D71F10"/>
    <w:rsid w:val="00D72D11"/>
    <w:rsid w:val="00D80012"/>
    <w:rsid w:val="00D81109"/>
    <w:rsid w:val="00D81723"/>
    <w:rsid w:val="00D979FE"/>
    <w:rsid w:val="00DA43AE"/>
    <w:rsid w:val="00DA5C30"/>
    <w:rsid w:val="00DA6239"/>
    <w:rsid w:val="00DB4A2B"/>
    <w:rsid w:val="00DB726F"/>
    <w:rsid w:val="00DC0E24"/>
    <w:rsid w:val="00DD3617"/>
    <w:rsid w:val="00DD39A6"/>
    <w:rsid w:val="00DD4F1F"/>
    <w:rsid w:val="00DE0A7F"/>
    <w:rsid w:val="00DF208F"/>
    <w:rsid w:val="00DF72DF"/>
    <w:rsid w:val="00E00761"/>
    <w:rsid w:val="00E01530"/>
    <w:rsid w:val="00E0534B"/>
    <w:rsid w:val="00E10413"/>
    <w:rsid w:val="00E10A5D"/>
    <w:rsid w:val="00E11B6C"/>
    <w:rsid w:val="00E1304E"/>
    <w:rsid w:val="00E13C21"/>
    <w:rsid w:val="00E13C61"/>
    <w:rsid w:val="00E14158"/>
    <w:rsid w:val="00E14A4E"/>
    <w:rsid w:val="00E230BB"/>
    <w:rsid w:val="00E27207"/>
    <w:rsid w:val="00E33D1A"/>
    <w:rsid w:val="00E36645"/>
    <w:rsid w:val="00E4471A"/>
    <w:rsid w:val="00E541CB"/>
    <w:rsid w:val="00E55CCB"/>
    <w:rsid w:val="00E6136A"/>
    <w:rsid w:val="00E630B3"/>
    <w:rsid w:val="00E63245"/>
    <w:rsid w:val="00E70701"/>
    <w:rsid w:val="00E73A3E"/>
    <w:rsid w:val="00E74E3E"/>
    <w:rsid w:val="00E75ABC"/>
    <w:rsid w:val="00E77A36"/>
    <w:rsid w:val="00E80C0C"/>
    <w:rsid w:val="00E85164"/>
    <w:rsid w:val="00E85B8F"/>
    <w:rsid w:val="00E8620C"/>
    <w:rsid w:val="00E87EAC"/>
    <w:rsid w:val="00E90300"/>
    <w:rsid w:val="00E95670"/>
    <w:rsid w:val="00EA462C"/>
    <w:rsid w:val="00EA7C92"/>
    <w:rsid w:val="00EB654B"/>
    <w:rsid w:val="00EB6FD1"/>
    <w:rsid w:val="00ED61C6"/>
    <w:rsid w:val="00ED70A3"/>
    <w:rsid w:val="00ED79E5"/>
    <w:rsid w:val="00EE2A8D"/>
    <w:rsid w:val="00EF3A23"/>
    <w:rsid w:val="00F04521"/>
    <w:rsid w:val="00F073B1"/>
    <w:rsid w:val="00F12326"/>
    <w:rsid w:val="00F1705C"/>
    <w:rsid w:val="00F1749E"/>
    <w:rsid w:val="00F261E1"/>
    <w:rsid w:val="00F40F9E"/>
    <w:rsid w:val="00F43B6C"/>
    <w:rsid w:val="00F455C4"/>
    <w:rsid w:val="00F4791D"/>
    <w:rsid w:val="00F57AB6"/>
    <w:rsid w:val="00F70ACC"/>
    <w:rsid w:val="00F81E88"/>
    <w:rsid w:val="00F87299"/>
    <w:rsid w:val="00F962DD"/>
    <w:rsid w:val="00FB1B35"/>
    <w:rsid w:val="00FD16FD"/>
    <w:rsid w:val="00FD2B58"/>
    <w:rsid w:val="00FD38CE"/>
    <w:rsid w:val="00FD4B71"/>
    <w:rsid w:val="00FD706C"/>
    <w:rsid w:val="00FE7C52"/>
    <w:rsid w:val="00FF27E8"/>
    <w:rsid w:val="00FF34A7"/>
    <w:rsid w:val="00FF5759"/>
    <w:rsid w:val="00FF7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D7B81"/>
  <w15:chartTrackingRefBased/>
  <w15:docId w15:val="{8E27C198-9036-4CC2-A301-E18AB6209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70A"/>
  </w:style>
  <w:style w:type="paragraph" w:styleId="Heading1">
    <w:name w:val="heading 1"/>
    <w:basedOn w:val="Normal"/>
    <w:next w:val="Normal"/>
    <w:link w:val="Heading1Char"/>
    <w:autoRedefine/>
    <w:uiPriority w:val="9"/>
    <w:qFormat/>
    <w:rsid w:val="00763FDA"/>
    <w:pPr>
      <w:keepNext/>
      <w:keepLines/>
      <w:spacing w:after="0" w:line="240" w:lineRule="auto"/>
      <w:outlineLvl w:val="0"/>
    </w:pPr>
    <w:rPr>
      <w:rFonts w:ascii="Times New Roman" w:eastAsiaTheme="majorEastAsia" w:hAnsi="Times New Roman"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6D28F1"/>
    <w:pPr>
      <w:spacing w:after="200" w:line="240" w:lineRule="auto"/>
    </w:pPr>
    <w:rPr>
      <w:rFonts w:ascii="Times New Roman" w:hAnsi="Times New Roman" w:cs="Times New Roman"/>
      <w:iCs/>
      <w:color w:val="000000" w:themeColor="text1"/>
      <w:sz w:val="24"/>
      <w:szCs w:val="18"/>
    </w:rPr>
  </w:style>
  <w:style w:type="character" w:customStyle="1" w:styleId="Heading1Char">
    <w:name w:val="Heading 1 Char"/>
    <w:basedOn w:val="DefaultParagraphFont"/>
    <w:link w:val="Heading1"/>
    <w:uiPriority w:val="9"/>
    <w:rsid w:val="00763FDA"/>
    <w:rPr>
      <w:rFonts w:ascii="Times New Roman" w:eastAsiaTheme="majorEastAsia" w:hAnsi="Times New Roman" w:cstheme="majorBidi"/>
      <w:b/>
      <w:bCs/>
      <w:sz w:val="32"/>
      <w:szCs w:val="28"/>
    </w:rPr>
  </w:style>
  <w:style w:type="paragraph" w:styleId="ListParagraph">
    <w:name w:val="List Paragraph"/>
    <w:basedOn w:val="Normal"/>
    <w:uiPriority w:val="34"/>
    <w:qFormat/>
    <w:rsid w:val="00AD04AA"/>
    <w:pPr>
      <w:ind w:left="720"/>
      <w:contextualSpacing/>
    </w:pPr>
  </w:style>
  <w:style w:type="table" w:customStyle="1" w:styleId="EESGovt">
    <w:name w:val="EESGovt"/>
    <w:basedOn w:val="TableNormal"/>
    <w:uiPriority w:val="99"/>
    <w:qFormat/>
    <w:rsid w:val="00C93D0E"/>
    <w:pPr>
      <w:spacing w:after="0" w:line="240" w:lineRule="auto"/>
    </w:pPr>
    <w:rPr>
      <w:rFonts w:ascii="Times New Roman" w:hAnsi="Times New Roman"/>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9" w:type="dxa"/>
        <w:left w:w="115" w:type="dxa"/>
        <w:bottom w:w="29" w:type="dxa"/>
        <w:right w:w="115" w:type="dxa"/>
      </w:tblCellMar>
    </w:tblPr>
    <w:tcPr>
      <w:shd w:val="clear" w:color="auto" w:fill="auto"/>
    </w:tcPr>
    <w:tblStylePr w:type="firstRow">
      <w:pPr>
        <w:jc w:val="center"/>
      </w:pPr>
      <w:rPr>
        <w:rFonts w:ascii="Times New Roman" w:hAnsi="Times New Roman"/>
        <w:b/>
        <w:sz w:val="22"/>
      </w:rPr>
      <w:tblPr/>
      <w:trPr>
        <w:tblHeader/>
      </w:trPr>
      <w:tcPr>
        <w:shd w:val="clear" w:color="auto" w:fill="BFBFBF"/>
        <w:vAlign w:val="center"/>
      </w:tcPr>
    </w:tblStylePr>
  </w:style>
  <w:style w:type="character" w:styleId="Hyperlink">
    <w:name w:val="Hyperlink"/>
    <w:basedOn w:val="DefaultParagraphFont"/>
    <w:uiPriority w:val="99"/>
    <w:unhideWhenUsed/>
    <w:rsid w:val="009901E4"/>
    <w:rPr>
      <w:color w:val="0563C1" w:themeColor="hyperlink"/>
      <w:u w:val="single"/>
    </w:rPr>
  </w:style>
  <w:style w:type="character" w:styleId="UnresolvedMention">
    <w:name w:val="Unresolved Mention"/>
    <w:basedOn w:val="DefaultParagraphFont"/>
    <w:uiPriority w:val="99"/>
    <w:semiHidden/>
    <w:unhideWhenUsed/>
    <w:rsid w:val="009901E4"/>
    <w:rPr>
      <w:color w:val="605E5C"/>
      <w:shd w:val="clear" w:color="auto" w:fill="E1DFDD"/>
    </w:rPr>
  </w:style>
  <w:style w:type="character" w:styleId="CommentReference">
    <w:name w:val="annotation reference"/>
    <w:basedOn w:val="DefaultParagraphFont"/>
    <w:uiPriority w:val="99"/>
    <w:semiHidden/>
    <w:unhideWhenUsed/>
    <w:rsid w:val="003835DA"/>
    <w:rPr>
      <w:sz w:val="16"/>
      <w:szCs w:val="16"/>
    </w:rPr>
  </w:style>
  <w:style w:type="paragraph" w:styleId="CommentText">
    <w:name w:val="annotation text"/>
    <w:basedOn w:val="Normal"/>
    <w:link w:val="CommentTextChar"/>
    <w:uiPriority w:val="99"/>
    <w:unhideWhenUsed/>
    <w:rsid w:val="003835DA"/>
    <w:pPr>
      <w:spacing w:line="240" w:lineRule="auto"/>
    </w:pPr>
    <w:rPr>
      <w:sz w:val="20"/>
      <w:szCs w:val="20"/>
    </w:rPr>
  </w:style>
  <w:style w:type="character" w:customStyle="1" w:styleId="CommentTextChar">
    <w:name w:val="Comment Text Char"/>
    <w:basedOn w:val="DefaultParagraphFont"/>
    <w:link w:val="CommentText"/>
    <w:uiPriority w:val="99"/>
    <w:rsid w:val="003835DA"/>
    <w:rPr>
      <w:sz w:val="20"/>
      <w:szCs w:val="20"/>
    </w:rPr>
  </w:style>
  <w:style w:type="paragraph" w:styleId="CommentSubject">
    <w:name w:val="annotation subject"/>
    <w:basedOn w:val="CommentText"/>
    <w:next w:val="CommentText"/>
    <w:link w:val="CommentSubjectChar"/>
    <w:uiPriority w:val="99"/>
    <w:semiHidden/>
    <w:unhideWhenUsed/>
    <w:rsid w:val="003835DA"/>
    <w:rPr>
      <w:b/>
      <w:bCs/>
    </w:rPr>
  </w:style>
  <w:style w:type="character" w:customStyle="1" w:styleId="CommentSubjectChar">
    <w:name w:val="Comment Subject Char"/>
    <w:basedOn w:val="CommentTextChar"/>
    <w:link w:val="CommentSubject"/>
    <w:uiPriority w:val="99"/>
    <w:semiHidden/>
    <w:rsid w:val="003835DA"/>
    <w:rPr>
      <w:b/>
      <w:bCs/>
      <w:sz w:val="20"/>
      <w:szCs w:val="20"/>
    </w:rPr>
  </w:style>
  <w:style w:type="paragraph" w:styleId="BalloonText">
    <w:name w:val="Balloon Text"/>
    <w:basedOn w:val="Normal"/>
    <w:link w:val="BalloonTextChar"/>
    <w:uiPriority w:val="99"/>
    <w:semiHidden/>
    <w:unhideWhenUsed/>
    <w:rsid w:val="003835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35DA"/>
    <w:rPr>
      <w:rFonts w:ascii="Segoe UI" w:hAnsi="Segoe UI" w:cs="Segoe UI"/>
      <w:sz w:val="18"/>
      <w:szCs w:val="18"/>
    </w:rPr>
  </w:style>
  <w:style w:type="paragraph" w:styleId="Revision">
    <w:name w:val="Revision"/>
    <w:hidden/>
    <w:uiPriority w:val="99"/>
    <w:semiHidden/>
    <w:rsid w:val="00E630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36102">
      <w:bodyDiv w:val="1"/>
      <w:marLeft w:val="0"/>
      <w:marRight w:val="0"/>
      <w:marTop w:val="0"/>
      <w:marBottom w:val="0"/>
      <w:divBdr>
        <w:top w:val="none" w:sz="0" w:space="0" w:color="auto"/>
        <w:left w:val="none" w:sz="0" w:space="0" w:color="auto"/>
        <w:bottom w:val="none" w:sz="0" w:space="0" w:color="auto"/>
        <w:right w:val="none" w:sz="0" w:space="0" w:color="auto"/>
      </w:divBdr>
    </w:div>
    <w:div w:id="273563496">
      <w:bodyDiv w:val="1"/>
      <w:marLeft w:val="0"/>
      <w:marRight w:val="0"/>
      <w:marTop w:val="0"/>
      <w:marBottom w:val="0"/>
      <w:divBdr>
        <w:top w:val="none" w:sz="0" w:space="0" w:color="auto"/>
        <w:left w:val="none" w:sz="0" w:space="0" w:color="auto"/>
        <w:bottom w:val="none" w:sz="0" w:space="0" w:color="auto"/>
        <w:right w:val="none" w:sz="0" w:space="0" w:color="auto"/>
      </w:divBdr>
    </w:div>
    <w:div w:id="1399330081">
      <w:bodyDiv w:val="1"/>
      <w:marLeft w:val="0"/>
      <w:marRight w:val="0"/>
      <w:marTop w:val="0"/>
      <w:marBottom w:val="0"/>
      <w:divBdr>
        <w:top w:val="none" w:sz="0" w:space="0" w:color="auto"/>
        <w:left w:val="none" w:sz="0" w:space="0" w:color="auto"/>
        <w:bottom w:val="none" w:sz="0" w:space="0" w:color="auto"/>
        <w:right w:val="none" w:sz="0" w:space="0" w:color="auto"/>
      </w:divBdr>
    </w:div>
    <w:div w:id="186273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emf"/><Relationship Id="rId13" Type="http://schemas.openxmlformats.org/officeDocument/2006/relationships/image" Target="media/image7.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0.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rrp.net/library/document/?id=2566"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11</Pages>
  <Words>3431</Words>
  <Characters>19557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Seth W. Naman</dc:creator>
  <cp:keywords/>
  <dc:description/>
  <cp:lastModifiedBy>Lindke, Kenneth@Wildlife</cp:lastModifiedBy>
  <cp:revision>49</cp:revision>
  <dcterms:created xsi:type="dcterms:W3CDTF">2024-01-11T23:42:00Z</dcterms:created>
  <dcterms:modified xsi:type="dcterms:W3CDTF">2024-01-12T00:44:00Z</dcterms:modified>
</cp:coreProperties>
</file>