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26273" w14:textId="77777777" w:rsidR="003A5406" w:rsidRDefault="003A5406" w:rsidP="003A5406">
      <w:pPr>
        <w:pStyle w:val="Heading2"/>
      </w:pPr>
      <w:bookmarkStart w:id="0" w:name="_Toc100049359"/>
      <w:r>
        <w:t>Science Priorities</w:t>
      </w:r>
      <w:bookmarkEnd w:id="0"/>
      <w:r>
        <w:t xml:space="preserve"> </w:t>
      </w:r>
    </w:p>
    <w:p w14:paraId="1827C19A" w14:textId="77777777" w:rsidR="003A5406" w:rsidRDefault="003A5406" w:rsidP="003A5406">
      <w:r>
        <w:t>The program goal statement conveys conviction to restore three main attributes of the Trinity River that have been and continue to be harmed by the construction and operation of the Trinity River Division of the Central Valley project. These attributes are defined as follows:</w:t>
      </w:r>
    </w:p>
    <w:p w14:paraId="483AF308" w14:textId="77777777" w:rsidR="003A5406" w:rsidRDefault="003A5406" w:rsidP="003A5406">
      <w:pPr>
        <w:pStyle w:val="ListParagraph"/>
        <w:numPr>
          <w:ilvl w:val="0"/>
          <w:numId w:val="1"/>
        </w:numPr>
        <w:spacing w:after="160" w:line="256" w:lineRule="auto"/>
      </w:pPr>
      <w:r>
        <w:t>The fluvial landscape of the Trinity River Valley and its distribution of alluvial sediments and vegetation, referred to as ‘</w:t>
      </w:r>
      <w:r>
        <w:rPr>
          <w:b/>
          <w:bCs/>
        </w:rPr>
        <w:t>Form</w:t>
      </w:r>
      <w:r>
        <w:t>’. (Refer to Goal Statement 1)</w:t>
      </w:r>
    </w:p>
    <w:p w14:paraId="188A5BB1" w14:textId="77777777" w:rsidR="003A5406" w:rsidRDefault="003A5406" w:rsidP="003A5406">
      <w:pPr>
        <w:pStyle w:val="ListParagraph"/>
      </w:pPr>
    </w:p>
    <w:p w14:paraId="0EEC4A5A" w14:textId="77777777" w:rsidR="003A5406" w:rsidRDefault="003A5406" w:rsidP="003A5406">
      <w:pPr>
        <w:pStyle w:val="ListParagraph"/>
        <w:numPr>
          <w:ilvl w:val="0"/>
          <w:numId w:val="1"/>
        </w:numPr>
        <w:spacing w:after="160" w:line="256" w:lineRule="auto"/>
      </w:pPr>
      <w:r>
        <w:t>The flux of energy, wood, water, and sediment which interact with the form of the Trinity River providing conditions for reproduction and maturation of fish and wildlife, referred to as ‘</w:t>
      </w:r>
      <w:r>
        <w:rPr>
          <w:b/>
          <w:bCs/>
        </w:rPr>
        <w:t>Function</w:t>
      </w:r>
      <w:r>
        <w:t>’. (Refer to Goal Statement 1)</w:t>
      </w:r>
    </w:p>
    <w:p w14:paraId="19ED2940" w14:textId="77777777" w:rsidR="003A5406" w:rsidRDefault="003A5406" w:rsidP="003A5406">
      <w:pPr>
        <w:pStyle w:val="ListParagraph"/>
      </w:pPr>
    </w:p>
    <w:p w14:paraId="3A544BD3" w14:textId="77777777" w:rsidR="003A5406" w:rsidRDefault="003A5406" w:rsidP="003A5406">
      <w:pPr>
        <w:pStyle w:val="ListParagraph"/>
        <w:numPr>
          <w:ilvl w:val="0"/>
          <w:numId w:val="1"/>
        </w:numPr>
        <w:spacing w:after="160" w:line="256" w:lineRule="auto"/>
      </w:pPr>
      <w:r>
        <w:t>Naturally produced populations of anadromous fish and lawful harvest by fisheries which they support, referred to as ‘</w:t>
      </w:r>
      <w:r>
        <w:rPr>
          <w:b/>
          <w:bCs/>
        </w:rPr>
        <w:t>Fish</w:t>
      </w:r>
      <w:r>
        <w:t>’. (Refer to Goal Statements 2 and 3)</w:t>
      </w:r>
    </w:p>
    <w:p w14:paraId="4EEDB3BF" w14:textId="77777777" w:rsidR="003A5406" w:rsidRDefault="003A5406" w:rsidP="003A5406">
      <w:r>
        <w:t>These three attributes span disciplines (e.g., physical, fish, wildlife) and leverage commonalities as identified in the conceptual model (</w:t>
      </w:r>
      <w:r>
        <w:rPr>
          <w:highlight w:val="yellow"/>
        </w:rPr>
        <w:t>Section xx</w:t>
      </w:r>
      <w:r>
        <w:t>). In other words, all domain specific objectives can be tied to one or more of these three attributes and therefore one or more of the goal statements. Specific objectives and targets were defined by the Inter-disciplinary Team (IDT) and subject specific workgroups (</w:t>
      </w:r>
      <w:r>
        <w:rPr>
          <w:highlight w:val="yellow"/>
        </w:rPr>
        <w:t>Citation or Appendix C?</w:t>
      </w:r>
      <w:proofErr w:type="gramStart"/>
      <w:r>
        <w:t>)</w:t>
      </w:r>
      <w:proofErr w:type="gramEnd"/>
      <w:r>
        <w:t xml:space="preserve"> and these provide important Program guidance (e.g., temperature targets by species and life-stage). The SPDC did not feel that the Objectives and Targets should be prioritized, rather the full list should be used as appropriate to address the Key Uncertainties related to the three multi-disciplinary attributes (form, function, and fish). </w:t>
      </w:r>
    </w:p>
    <w:p w14:paraId="101574EA" w14:textId="77777777" w:rsidR="003A5406" w:rsidRDefault="003A5406" w:rsidP="003A5406"/>
    <w:p w14:paraId="2232F646" w14:textId="77777777" w:rsidR="003A5406" w:rsidRDefault="003A5406" w:rsidP="003A5406">
      <w:r>
        <w:rPr>
          <w:b/>
          <w:bCs/>
        </w:rPr>
        <w:t>Science priorities</w:t>
      </w:r>
      <w:r>
        <w:t xml:space="preserve"> include a combination of </w:t>
      </w:r>
      <w:r>
        <w:rPr>
          <w:b/>
          <w:bCs/>
        </w:rPr>
        <w:t>core activities</w:t>
      </w:r>
      <w:r>
        <w:t xml:space="preserve"> and </w:t>
      </w:r>
      <w:r>
        <w:rPr>
          <w:b/>
          <w:bCs/>
        </w:rPr>
        <w:t>key uncertainties</w:t>
      </w:r>
      <w:r>
        <w:t xml:space="preserve"> related to each of these attributes. This section defines these terms, identifies the priority core activities and key uncertainties, and proposes a path forward for Phase 3 implementation.</w:t>
      </w:r>
    </w:p>
    <w:p w14:paraId="181E96ED" w14:textId="77777777" w:rsidR="003A5406" w:rsidRDefault="003A5406" w:rsidP="003A5406">
      <w:pPr>
        <w:rPr>
          <w:b/>
          <w:bCs/>
        </w:rPr>
      </w:pPr>
    </w:p>
    <w:p w14:paraId="6890BE1D" w14:textId="77777777" w:rsidR="003A5406" w:rsidRDefault="003A5406" w:rsidP="003A5406">
      <w:pPr>
        <w:pStyle w:val="Heading3"/>
      </w:pPr>
      <w:bookmarkStart w:id="1" w:name="_Toc100049360"/>
      <w:r>
        <w:t>Core Activities</w:t>
      </w:r>
      <w:bookmarkEnd w:id="1"/>
    </w:p>
    <w:p w14:paraId="13DA4B56" w14:textId="77777777" w:rsidR="003A5406" w:rsidRDefault="003A5406" w:rsidP="003A5406">
      <w:pPr>
        <w:rPr>
          <w:b/>
          <w:bCs/>
        </w:rPr>
      </w:pPr>
    </w:p>
    <w:p w14:paraId="3888CBD4" w14:textId="77777777" w:rsidR="003A5406" w:rsidRDefault="003A5406" w:rsidP="003A5406">
      <w:r>
        <w:t>Core activities include monitoring, modeling, or analysis activities that are required for direct assessment of progress towards the goal of the Program, activities which are required to inform ongoing management decisions, or activities required to support evaluation of the Key Uncertainties. These activities will remain relatively constant throughout Phase 3 and progress will be reported at the mid-point and/or completion of Phase 3.</w:t>
      </w:r>
    </w:p>
    <w:p w14:paraId="73005695" w14:textId="77777777" w:rsidR="003A5406" w:rsidRDefault="003A5406" w:rsidP="003A5406"/>
    <w:p w14:paraId="6F0698C6" w14:textId="77777777" w:rsidR="003A5406" w:rsidRDefault="003A5406" w:rsidP="003A5406">
      <w:pPr>
        <w:pStyle w:val="Caption"/>
      </w:pPr>
      <w:r>
        <w:t xml:space="preserve">Table </w:t>
      </w:r>
      <w:r>
        <w:fldChar w:fldCharType="begin"/>
      </w:r>
      <w:r>
        <w:instrText xml:space="preserve"> SEQ Table \* ARABIC </w:instrText>
      </w:r>
      <w:r>
        <w:fldChar w:fldCharType="separate"/>
      </w:r>
      <w:r>
        <w:rPr>
          <w:noProof/>
        </w:rPr>
        <w:t>2</w:t>
      </w:r>
      <w:r>
        <w:fldChar w:fldCharType="end"/>
      </w:r>
      <w:r>
        <w:t xml:space="preserve">. Proposed list of core activities along with a brief rationale describing why they are important. </w:t>
      </w:r>
    </w:p>
    <w:tbl>
      <w:tblPr>
        <w:tblStyle w:val="TableGrid"/>
        <w:tblW w:w="9435" w:type="dxa"/>
        <w:tblInd w:w="0" w:type="dxa"/>
        <w:tblLook w:val="04A0" w:firstRow="1" w:lastRow="0" w:firstColumn="1" w:lastColumn="0" w:noHBand="0" w:noVBand="1"/>
      </w:tblPr>
      <w:tblGrid>
        <w:gridCol w:w="1012"/>
        <w:gridCol w:w="4937"/>
        <w:gridCol w:w="3486"/>
      </w:tblGrid>
      <w:tr w:rsidR="003A5406" w14:paraId="024FECCB" w14:textId="77777777" w:rsidTr="003A5406">
        <w:tc>
          <w:tcPr>
            <w:tcW w:w="10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B1FCD80" w14:textId="77777777" w:rsidR="003A5406" w:rsidRDefault="003A5406"/>
        </w:tc>
        <w:tc>
          <w:tcPr>
            <w:tcW w:w="4937"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E1BA528" w14:textId="77777777" w:rsidR="003A5406" w:rsidRDefault="003A5406">
            <w:pPr>
              <w:rPr>
                <w:b/>
                <w:bCs/>
              </w:rPr>
            </w:pPr>
            <w:r>
              <w:rPr>
                <w:b/>
                <w:bCs/>
              </w:rPr>
              <w:t xml:space="preserve">Core Activities </w:t>
            </w:r>
          </w:p>
        </w:tc>
        <w:tc>
          <w:tcPr>
            <w:tcW w:w="3486"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59BBA89" w14:textId="77777777" w:rsidR="003A5406" w:rsidRDefault="003A5406">
            <w:pPr>
              <w:rPr>
                <w:b/>
                <w:bCs/>
              </w:rPr>
            </w:pPr>
            <w:r>
              <w:rPr>
                <w:b/>
                <w:bCs/>
              </w:rPr>
              <w:t>Rationale</w:t>
            </w:r>
          </w:p>
        </w:tc>
      </w:tr>
      <w:tr w:rsidR="003A5406" w14:paraId="44FC1B7B" w14:textId="77777777" w:rsidTr="003A5406">
        <w:tc>
          <w:tcPr>
            <w:tcW w:w="1012"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F3BE51D" w14:textId="77777777" w:rsidR="003A5406" w:rsidRDefault="003A5406">
            <w:pPr>
              <w:rPr>
                <w:b/>
                <w:bCs/>
              </w:rPr>
            </w:pPr>
            <w:r>
              <w:rPr>
                <w:b/>
                <w:bCs/>
              </w:rPr>
              <w:t xml:space="preserve">Form </w:t>
            </w:r>
          </w:p>
        </w:tc>
        <w:tc>
          <w:tcPr>
            <w:tcW w:w="4937" w:type="dxa"/>
            <w:tcBorders>
              <w:top w:val="single" w:sz="4" w:space="0" w:color="auto"/>
              <w:left w:val="single" w:sz="4" w:space="0" w:color="auto"/>
              <w:bottom w:val="single" w:sz="4" w:space="0" w:color="auto"/>
              <w:right w:val="single" w:sz="4" w:space="0" w:color="auto"/>
            </w:tcBorders>
            <w:hideMark/>
          </w:tcPr>
          <w:p w14:paraId="47D15A4F" w14:textId="77777777" w:rsidR="003A5406" w:rsidRDefault="003A5406" w:rsidP="0076327E">
            <w:pPr>
              <w:pStyle w:val="ListParagraph"/>
              <w:numPr>
                <w:ilvl w:val="0"/>
                <w:numId w:val="2"/>
              </w:numPr>
            </w:pPr>
            <w:r>
              <w:t xml:space="preserve">5-year census (40-mile reach): Including development of Digital Terrain Model and hydraulic model update (every 5 </w:t>
            </w:r>
            <w:proofErr w:type="spellStart"/>
            <w:r>
              <w:t>yrs</w:t>
            </w:r>
            <w:proofErr w:type="spellEnd"/>
            <w:r>
              <w:t>)</w:t>
            </w:r>
          </w:p>
          <w:p w14:paraId="45827233" w14:textId="77777777" w:rsidR="003A5406" w:rsidRDefault="003A5406" w:rsidP="0076327E">
            <w:pPr>
              <w:pStyle w:val="ListParagraph"/>
              <w:numPr>
                <w:ilvl w:val="0"/>
                <w:numId w:val="2"/>
              </w:numPr>
            </w:pPr>
            <w:r>
              <w:t>Aerial imagery - annually</w:t>
            </w:r>
          </w:p>
          <w:p w14:paraId="3863DEC7" w14:textId="77777777" w:rsidR="003A5406" w:rsidRDefault="003A5406" w:rsidP="0076327E">
            <w:pPr>
              <w:pStyle w:val="ListParagraph"/>
              <w:numPr>
                <w:ilvl w:val="0"/>
                <w:numId w:val="2"/>
              </w:numPr>
            </w:pPr>
            <w:r>
              <w:t>As built surveys – post construction</w:t>
            </w:r>
          </w:p>
        </w:tc>
        <w:tc>
          <w:tcPr>
            <w:tcW w:w="3486" w:type="dxa"/>
            <w:tcBorders>
              <w:top w:val="single" w:sz="4" w:space="0" w:color="auto"/>
              <w:left w:val="single" w:sz="4" w:space="0" w:color="auto"/>
              <w:bottom w:val="single" w:sz="4" w:space="0" w:color="auto"/>
              <w:right w:val="single" w:sz="4" w:space="0" w:color="auto"/>
            </w:tcBorders>
          </w:tcPr>
          <w:p w14:paraId="6A66405F" w14:textId="77777777" w:rsidR="003A5406" w:rsidRDefault="003A5406">
            <w:r>
              <w:t>Informs Key Uncertainty # 1, 4, 5</w:t>
            </w:r>
          </w:p>
          <w:p w14:paraId="6FC072AC" w14:textId="77777777" w:rsidR="003A5406" w:rsidRDefault="003A5406"/>
        </w:tc>
      </w:tr>
      <w:tr w:rsidR="003A5406" w14:paraId="6352529A" w14:textId="77777777" w:rsidTr="003A5406">
        <w:tc>
          <w:tcPr>
            <w:tcW w:w="1012"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6B72636" w14:textId="77777777" w:rsidR="003A5406" w:rsidRDefault="003A5406">
            <w:pPr>
              <w:rPr>
                <w:b/>
                <w:bCs/>
              </w:rPr>
            </w:pPr>
            <w:r>
              <w:rPr>
                <w:b/>
                <w:bCs/>
              </w:rPr>
              <w:t xml:space="preserve">Function </w:t>
            </w:r>
          </w:p>
        </w:tc>
        <w:tc>
          <w:tcPr>
            <w:tcW w:w="4937" w:type="dxa"/>
            <w:tcBorders>
              <w:top w:val="single" w:sz="4" w:space="0" w:color="auto"/>
              <w:left w:val="single" w:sz="4" w:space="0" w:color="auto"/>
              <w:bottom w:val="single" w:sz="4" w:space="0" w:color="auto"/>
              <w:right w:val="single" w:sz="4" w:space="0" w:color="auto"/>
            </w:tcBorders>
            <w:hideMark/>
          </w:tcPr>
          <w:p w14:paraId="0B41A802" w14:textId="77777777" w:rsidR="003A5406" w:rsidRDefault="003A5406" w:rsidP="0076327E">
            <w:pPr>
              <w:pStyle w:val="ListParagraph"/>
              <w:numPr>
                <w:ilvl w:val="0"/>
                <w:numId w:val="2"/>
              </w:numPr>
            </w:pPr>
            <w:r>
              <w:t>Maintain gage data (i.e., flow and temperature) - annual</w:t>
            </w:r>
          </w:p>
          <w:p w14:paraId="70D705A7" w14:textId="77777777" w:rsidR="003A5406" w:rsidRDefault="003A5406" w:rsidP="0076327E">
            <w:pPr>
              <w:pStyle w:val="ListParagraph"/>
              <w:numPr>
                <w:ilvl w:val="0"/>
                <w:numId w:val="2"/>
              </w:numPr>
            </w:pPr>
            <w:r>
              <w:t>Large wood surveys - annual</w:t>
            </w:r>
          </w:p>
        </w:tc>
        <w:tc>
          <w:tcPr>
            <w:tcW w:w="3486" w:type="dxa"/>
            <w:tcBorders>
              <w:top w:val="single" w:sz="4" w:space="0" w:color="auto"/>
              <w:left w:val="single" w:sz="4" w:space="0" w:color="auto"/>
              <w:bottom w:val="single" w:sz="4" w:space="0" w:color="auto"/>
              <w:right w:val="single" w:sz="4" w:space="0" w:color="auto"/>
            </w:tcBorders>
          </w:tcPr>
          <w:p w14:paraId="0400C8F7" w14:textId="77777777" w:rsidR="003A5406" w:rsidRDefault="003A5406">
            <w:r>
              <w:t>Informs annual flow management decisions</w:t>
            </w:r>
          </w:p>
          <w:p w14:paraId="2D2A516C" w14:textId="77777777" w:rsidR="003A5406" w:rsidRDefault="003A5406">
            <w:r>
              <w:t>Inform Key Uncertainty # 2, 3, 4, 5</w:t>
            </w:r>
          </w:p>
          <w:p w14:paraId="4B825DB9" w14:textId="77777777" w:rsidR="003A5406" w:rsidRDefault="003A5406"/>
        </w:tc>
      </w:tr>
      <w:tr w:rsidR="003A5406" w14:paraId="3DF04800" w14:textId="77777777" w:rsidTr="003A5406">
        <w:tc>
          <w:tcPr>
            <w:tcW w:w="1012"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837DA53" w14:textId="77777777" w:rsidR="003A5406" w:rsidRDefault="003A5406">
            <w:pPr>
              <w:rPr>
                <w:b/>
                <w:bCs/>
              </w:rPr>
            </w:pPr>
            <w:r>
              <w:rPr>
                <w:b/>
                <w:bCs/>
              </w:rPr>
              <w:lastRenderedPageBreak/>
              <w:t xml:space="preserve">Fish </w:t>
            </w:r>
          </w:p>
        </w:tc>
        <w:tc>
          <w:tcPr>
            <w:tcW w:w="4937" w:type="dxa"/>
            <w:tcBorders>
              <w:top w:val="single" w:sz="4" w:space="0" w:color="auto"/>
              <w:left w:val="single" w:sz="4" w:space="0" w:color="auto"/>
              <w:bottom w:val="single" w:sz="4" w:space="0" w:color="auto"/>
              <w:right w:val="single" w:sz="4" w:space="0" w:color="auto"/>
            </w:tcBorders>
            <w:hideMark/>
          </w:tcPr>
          <w:p w14:paraId="41BF9013" w14:textId="77777777" w:rsidR="003A5406" w:rsidRDefault="003A5406" w:rsidP="0076327E">
            <w:pPr>
              <w:pStyle w:val="ListParagraph"/>
              <w:numPr>
                <w:ilvl w:val="0"/>
                <w:numId w:val="2"/>
              </w:numPr>
            </w:pPr>
            <w:r>
              <w:t>Adult and juvenile Chinook population monitoring.</w:t>
            </w:r>
          </w:p>
        </w:tc>
        <w:tc>
          <w:tcPr>
            <w:tcW w:w="3486" w:type="dxa"/>
            <w:tcBorders>
              <w:top w:val="single" w:sz="4" w:space="0" w:color="auto"/>
              <w:left w:val="single" w:sz="4" w:space="0" w:color="auto"/>
              <w:bottom w:val="single" w:sz="4" w:space="0" w:color="auto"/>
              <w:right w:val="single" w:sz="4" w:space="0" w:color="auto"/>
            </w:tcBorders>
            <w:hideMark/>
          </w:tcPr>
          <w:p w14:paraId="6D06EE49" w14:textId="77777777" w:rsidR="003A5406" w:rsidRDefault="003A5406">
            <w:r>
              <w:t>Informs Key Uncertainty # 4, 5</w:t>
            </w:r>
          </w:p>
        </w:tc>
      </w:tr>
    </w:tbl>
    <w:p w14:paraId="46070DFA" w14:textId="77777777" w:rsidR="003A5406" w:rsidRDefault="003A5406" w:rsidP="003A5406"/>
    <w:p w14:paraId="17B011D4" w14:textId="77777777" w:rsidR="003A5406" w:rsidRDefault="003A5406" w:rsidP="003A5406">
      <w:pPr>
        <w:pStyle w:val="Heading3"/>
      </w:pPr>
      <w:bookmarkStart w:id="2" w:name="_Toc100049361"/>
      <w:r>
        <w:t>Key uncertainties</w:t>
      </w:r>
      <w:bookmarkEnd w:id="2"/>
    </w:p>
    <w:p w14:paraId="58A8BBF8" w14:textId="77777777" w:rsidR="003A5406" w:rsidRDefault="003A5406" w:rsidP="003A5406"/>
    <w:p w14:paraId="5C3FFDA5" w14:textId="77777777" w:rsidR="003A5406" w:rsidRDefault="003A5406" w:rsidP="003A5406">
      <w:r>
        <w:t xml:space="preserve">Key uncertainties associated with the ability to achieve Program goals through management actions provide the framework for adaptive management experimentation, modeling, and learning during Phase 3. Monitoring, modeling, and reporting funded to address key uncertainties may be revisited on an annual cycle. Updates to key uncertainties as old ones are resolved or new insights emerge, and timing of synthesis will be identified by the IDT as needed and approved by the TMC. </w:t>
      </w:r>
    </w:p>
    <w:p w14:paraId="1DF29A01" w14:textId="77777777" w:rsidR="003A5406" w:rsidRDefault="003A5406" w:rsidP="003A5406"/>
    <w:p w14:paraId="7F0AE3E3" w14:textId="77777777" w:rsidR="003A5406" w:rsidRDefault="003A5406" w:rsidP="003A5406">
      <w:r>
        <w:t>To aid in future prioritization of key uncertainties by the IDT the following questions are provided:</w:t>
      </w:r>
    </w:p>
    <w:p w14:paraId="5FD57F43" w14:textId="77777777" w:rsidR="003A5406" w:rsidRDefault="003A5406" w:rsidP="003A5406">
      <w:pPr>
        <w:pStyle w:val="ListParagraph"/>
        <w:numPr>
          <w:ilvl w:val="0"/>
          <w:numId w:val="3"/>
        </w:numPr>
        <w:spacing w:after="160" w:line="256" w:lineRule="auto"/>
      </w:pPr>
      <w:r>
        <w:t>Will assessing this key uncertainty result in revised management actions via AM? Which Actions?</w:t>
      </w:r>
    </w:p>
    <w:p w14:paraId="1C801AAA" w14:textId="77777777" w:rsidR="003A5406" w:rsidRDefault="003A5406" w:rsidP="003A5406">
      <w:pPr>
        <w:pStyle w:val="ListParagraph"/>
        <w:numPr>
          <w:ilvl w:val="0"/>
          <w:numId w:val="3"/>
        </w:numPr>
        <w:spacing w:after="160" w:line="256" w:lineRule="auto"/>
      </w:pPr>
      <w:r>
        <w:t>Will assessing this key uncertainty improve tracking progress towards the TRRP goal? Which attribute of the goal?</w:t>
      </w:r>
    </w:p>
    <w:p w14:paraId="798B9FC1" w14:textId="77777777" w:rsidR="003A5406" w:rsidRDefault="003A5406" w:rsidP="003A5406">
      <w:pPr>
        <w:pStyle w:val="ListParagraph"/>
        <w:numPr>
          <w:ilvl w:val="0"/>
          <w:numId w:val="3"/>
        </w:numPr>
        <w:spacing w:after="160" w:line="256" w:lineRule="auto"/>
      </w:pPr>
      <w:r>
        <w:t>What are the consequences of not assessing this key uncertainty? Why and how would these consequences occur?</w:t>
      </w:r>
    </w:p>
    <w:p w14:paraId="7C7CB18F" w14:textId="77777777" w:rsidR="003A5406" w:rsidRDefault="003A5406" w:rsidP="003A5406">
      <w:pPr>
        <w:pStyle w:val="ListParagraph"/>
        <w:numPr>
          <w:ilvl w:val="0"/>
          <w:numId w:val="3"/>
        </w:numPr>
        <w:spacing w:after="160" w:line="256" w:lineRule="auto"/>
      </w:pPr>
      <w:r>
        <w:t>Is there a sequential nature required to resolve key uncertainties? If so, where in the sequence is this key uncertainty?</w:t>
      </w:r>
    </w:p>
    <w:p w14:paraId="56B4C44B" w14:textId="77777777" w:rsidR="003A5406" w:rsidRDefault="003A5406" w:rsidP="003A5406">
      <w:r>
        <w:t>The key uncertainties</w:t>
      </w:r>
      <w:r>
        <w:rPr>
          <w:rStyle w:val="FootnoteReference"/>
        </w:rPr>
        <w:footnoteReference w:id="1"/>
      </w:r>
      <w:r>
        <w:t xml:space="preserve"> identified for Phase 3 are listed below along with an initial implementation plan. Further detail on each of the key uncertainties is provided in Appendix E along with a list of additional uncertainties for future consideration. </w:t>
      </w:r>
    </w:p>
    <w:p w14:paraId="6FDB4922" w14:textId="77777777" w:rsidR="003A5406" w:rsidRDefault="003A5406" w:rsidP="003A5406"/>
    <w:p w14:paraId="4A91A007" w14:textId="77777777" w:rsidR="003A5406" w:rsidRDefault="003A5406" w:rsidP="003A5406">
      <w:pPr>
        <w:pStyle w:val="NoSpacing"/>
        <w:numPr>
          <w:ilvl w:val="0"/>
          <w:numId w:val="4"/>
        </w:numPr>
        <w:ind w:left="720"/>
        <w:rPr>
          <w:color w:val="0070C0"/>
        </w:rPr>
      </w:pPr>
      <w:r>
        <w:rPr>
          <w:color w:val="0070C0"/>
          <w:u w:val="single"/>
        </w:rPr>
        <w:t>Wetted width</w:t>
      </w:r>
      <w:r>
        <w:rPr>
          <w:color w:val="0070C0"/>
        </w:rPr>
        <w:t xml:space="preserve"> – </w:t>
      </w:r>
      <w:r>
        <w:rPr>
          <w:i/>
          <w:iCs/>
          <w:color w:val="0070C0"/>
        </w:rPr>
        <w:t xml:space="preserve">Can adjusting site rehabilitation and flow management strategies result in increased rates of wetted width expansion over a range of discharges? [GOAL 1: Form] </w:t>
      </w:r>
    </w:p>
    <w:p w14:paraId="4FB4FDFD" w14:textId="77777777" w:rsidR="003A5406" w:rsidRDefault="003A5406" w:rsidP="003A5406">
      <w:pPr>
        <w:pStyle w:val="NoSpacing"/>
        <w:ind w:left="1800"/>
        <w:rPr>
          <w:b/>
          <w:bCs/>
        </w:rPr>
      </w:pPr>
      <w:bookmarkStart w:id="3" w:name="_Hlk98924691"/>
    </w:p>
    <w:bookmarkEnd w:id="3"/>
    <w:p w14:paraId="6D80BDC1" w14:textId="77777777" w:rsidR="003A5406" w:rsidRDefault="003A5406" w:rsidP="003A5406">
      <w:pPr>
        <w:pStyle w:val="NoSpacing"/>
        <w:numPr>
          <w:ilvl w:val="0"/>
          <w:numId w:val="4"/>
        </w:numPr>
        <w:ind w:left="720"/>
        <w:rPr>
          <w:color w:val="0070C0"/>
        </w:rPr>
      </w:pPr>
      <w:r>
        <w:rPr>
          <w:color w:val="0070C0"/>
          <w:u w:val="single"/>
        </w:rPr>
        <w:t>Nutrient flux</w:t>
      </w:r>
      <w:r>
        <w:rPr>
          <w:color w:val="0070C0"/>
        </w:rPr>
        <w:t xml:space="preserve"> – </w:t>
      </w:r>
      <w:r>
        <w:rPr>
          <w:i/>
          <w:iCs/>
          <w:color w:val="0070C0"/>
        </w:rPr>
        <w:t>Can changing management actions result in greater transfer of energy through trophic levels? [GOAL 1: Function]</w:t>
      </w:r>
    </w:p>
    <w:p w14:paraId="7EFC9610" w14:textId="77777777" w:rsidR="003A5406" w:rsidRDefault="003A5406" w:rsidP="003A5406">
      <w:pPr>
        <w:pStyle w:val="NoSpacing"/>
        <w:ind w:left="360"/>
      </w:pPr>
    </w:p>
    <w:p w14:paraId="3B15D4E1" w14:textId="77777777" w:rsidR="003A5406" w:rsidRDefault="003A5406" w:rsidP="003A5406">
      <w:pPr>
        <w:pStyle w:val="NoSpacing"/>
        <w:numPr>
          <w:ilvl w:val="0"/>
          <w:numId w:val="4"/>
        </w:numPr>
        <w:ind w:left="720"/>
        <w:rPr>
          <w:color w:val="0070C0"/>
        </w:rPr>
      </w:pPr>
      <w:r>
        <w:rPr>
          <w:color w:val="0070C0"/>
          <w:u w:val="single"/>
        </w:rPr>
        <w:t>Temperature regime</w:t>
      </w:r>
      <w:r>
        <w:rPr>
          <w:color w:val="0070C0"/>
        </w:rPr>
        <w:t xml:space="preserve"> – </w:t>
      </w:r>
      <w:r>
        <w:rPr>
          <w:i/>
          <w:iCs/>
          <w:color w:val="0070C0"/>
        </w:rPr>
        <w:t>Can we manage temperatures to benefit multiple life stages of salmonids while meeting other species needs? [GOAL 1: Function]</w:t>
      </w:r>
    </w:p>
    <w:p w14:paraId="4F949953" w14:textId="77777777" w:rsidR="003A5406" w:rsidRDefault="003A5406" w:rsidP="003A5406">
      <w:pPr>
        <w:pStyle w:val="NoSpacing"/>
        <w:ind w:left="360"/>
      </w:pPr>
    </w:p>
    <w:p w14:paraId="12CAD9F9" w14:textId="77777777" w:rsidR="003A5406" w:rsidRDefault="003A5406" w:rsidP="003A5406">
      <w:pPr>
        <w:pStyle w:val="NoSpacing"/>
        <w:numPr>
          <w:ilvl w:val="0"/>
          <w:numId w:val="4"/>
        </w:numPr>
        <w:ind w:left="720"/>
        <w:rPr>
          <w:color w:val="0070C0"/>
        </w:rPr>
      </w:pPr>
      <w:r>
        <w:rPr>
          <w:color w:val="0070C0"/>
          <w:u w:val="single"/>
        </w:rPr>
        <w:t>Fish production</w:t>
      </w:r>
      <w:r>
        <w:rPr>
          <w:color w:val="0070C0"/>
        </w:rPr>
        <w:t xml:space="preserve"> – </w:t>
      </w:r>
      <w:r>
        <w:rPr>
          <w:i/>
          <w:iCs/>
          <w:color w:val="0070C0"/>
        </w:rPr>
        <w:t>At what life stage and/or what habitat resource do bottlenecks to production occur? [GOALS 2 &amp; 3: Fish]</w:t>
      </w:r>
    </w:p>
    <w:p w14:paraId="0B18F09D" w14:textId="77777777" w:rsidR="003A5406" w:rsidRDefault="003A5406" w:rsidP="003A5406">
      <w:pPr>
        <w:pStyle w:val="NoSpacing"/>
        <w:ind w:left="1800"/>
        <w:rPr>
          <w:b/>
          <w:bCs/>
        </w:rPr>
      </w:pPr>
    </w:p>
    <w:p w14:paraId="56D371A1" w14:textId="77777777" w:rsidR="003A5406" w:rsidRDefault="003A5406" w:rsidP="003A5406">
      <w:pPr>
        <w:pStyle w:val="NoSpacing"/>
        <w:numPr>
          <w:ilvl w:val="0"/>
          <w:numId w:val="4"/>
        </w:numPr>
        <w:ind w:left="720"/>
        <w:rPr>
          <w:color w:val="0070C0"/>
        </w:rPr>
      </w:pPr>
      <w:r>
        <w:rPr>
          <w:color w:val="0070C0"/>
          <w:u w:val="single"/>
        </w:rPr>
        <w:t>ROD effectiveness</w:t>
      </w:r>
      <w:r>
        <w:rPr>
          <w:color w:val="0070C0"/>
        </w:rPr>
        <w:t xml:space="preserve"> - </w:t>
      </w:r>
      <w:r>
        <w:rPr>
          <w:i/>
          <w:iCs/>
          <w:color w:val="0070C0"/>
        </w:rPr>
        <w:t>Can we achieve the Program goals with the tools and decision space provided by the ROD?</w:t>
      </w:r>
      <w:r>
        <w:rPr>
          <w:color w:val="0070C0"/>
        </w:rPr>
        <w:t xml:space="preserve"> </w:t>
      </w:r>
      <w:r>
        <w:rPr>
          <w:i/>
          <w:iCs/>
          <w:color w:val="0070C0"/>
        </w:rPr>
        <w:t>[GOAL 1 Form and function; GOALS 2 &amp; 3: Fish]</w:t>
      </w:r>
    </w:p>
    <w:p w14:paraId="08BB08FB" w14:textId="77777777" w:rsidR="003A5406" w:rsidRDefault="003A5406" w:rsidP="003A5406"/>
    <w:p w14:paraId="0A543059" w14:textId="77777777" w:rsidR="003A5406" w:rsidRDefault="003A5406" w:rsidP="003A5406">
      <w:pPr>
        <w:pStyle w:val="Heading3"/>
      </w:pPr>
      <w:bookmarkStart w:id="4" w:name="_Toc100049362"/>
      <w:r>
        <w:t>Path forward</w:t>
      </w:r>
      <w:bookmarkEnd w:id="4"/>
    </w:p>
    <w:p w14:paraId="5ACF6B6C" w14:textId="77777777" w:rsidR="003A5406" w:rsidRDefault="003A5406" w:rsidP="003A5406">
      <w:r>
        <w:t xml:space="preserve">This section briefly describes the proposed path forward and expected timelines (Figure X) to address key uncertainties for Phase 3. Additional detail is provided in Appendix E. </w:t>
      </w:r>
    </w:p>
    <w:p w14:paraId="6258E4B3" w14:textId="77777777" w:rsidR="003A5406" w:rsidRDefault="003A5406" w:rsidP="003A5406"/>
    <w:p w14:paraId="074A9866" w14:textId="77777777" w:rsidR="003A5406" w:rsidRDefault="003A5406" w:rsidP="003A5406">
      <w:pPr>
        <w:rPr>
          <w:b/>
          <w:bCs/>
        </w:rPr>
      </w:pPr>
      <w:r>
        <w:rPr>
          <w:b/>
          <w:bCs/>
        </w:rPr>
        <w:t>Implement core activities (monitoring, modeling, analysis) (Key Uncertainty: #1-5)</w:t>
      </w:r>
    </w:p>
    <w:p w14:paraId="53C52DB6" w14:textId="77777777" w:rsidR="003A5406" w:rsidRDefault="003A5406" w:rsidP="003A5406">
      <w:r>
        <w:t xml:space="preserve">These activities provide the fundamental knowledge base for assessing effectiveness of management actions individually and collectively and long-term consistent funding is critical to maximizing the power of the data to inform management actions and reduce uncertainties. </w:t>
      </w:r>
      <w:r>
        <w:rPr>
          <w:b/>
          <w:bCs/>
        </w:rPr>
        <w:t>[Timing: throughout Phase 3]</w:t>
      </w:r>
    </w:p>
    <w:p w14:paraId="4E7782D9" w14:textId="77777777" w:rsidR="003A5406" w:rsidRDefault="003A5406" w:rsidP="003A5406"/>
    <w:p w14:paraId="59E38F9A" w14:textId="77777777" w:rsidR="003A5406" w:rsidRDefault="003A5406" w:rsidP="003A5406">
      <w:pPr>
        <w:rPr>
          <w:b/>
          <w:bCs/>
        </w:rPr>
      </w:pPr>
      <w:r>
        <w:rPr>
          <w:b/>
          <w:bCs/>
        </w:rPr>
        <w:t>Implement Active Adaptive Management of flows (Key Uncertainty: #1-3)</w:t>
      </w:r>
    </w:p>
    <w:p w14:paraId="0A08FFCF" w14:textId="77777777" w:rsidR="003A5406" w:rsidRDefault="003A5406" w:rsidP="003A5406">
      <w:r>
        <w:t>Flow is the best opportunity for Phase 3 active Adaptive Management (</w:t>
      </w:r>
      <w:r>
        <w:fldChar w:fldCharType="begin"/>
      </w:r>
      <w:r>
        <w:instrText xml:space="preserve"> REF _Ref95939322 \h </w:instrText>
      </w:r>
      <w:r>
        <w:fldChar w:fldCharType="separate"/>
      </w:r>
      <w:r>
        <w:t xml:space="preserve">Table </w:t>
      </w:r>
      <w:r>
        <w:rPr>
          <w:noProof/>
        </w:rPr>
        <w:t>1</w:t>
      </w:r>
      <w:r>
        <w:fldChar w:fldCharType="end"/>
      </w:r>
      <w:r>
        <w:t xml:space="preserve">) and is directly relevant to key uncertainties 1, 2, and 3. This means that with one management experiment, at least part of three key uncertainties can be addressed. Appendix E provides an initial AM plan for flow management in the Trinity. As noted in </w:t>
      </w:r>
      <w:r>
        <w:rPr>
          <w:highlight w:val="yellow"/>
        </w:rPr>
        <w:t>Section X</w:t>
      </w:r>
      <w:r>
        <w:t xml:space="preserve"> </w:t>
      </w:r>
      <w:r>
        <w:rPr>
          <w:highlight w:val="yellow"/>
        </w:rPr>
        <w:t>(AM Roles</w:t>
      </w:r>
      <w:r>
        <w:t xml:space="preserve">), this preliminary plan needs to be further developed and vetted with both stakeholders and decision makers. </w:t>
      </w:r>
      <w:r>
        <w:rPr>
          <w:b/>
          <w:bCs/>
        </w:rPr>
        <w:t>[Timing: 3-5 years minimum]</w:t>
      </w:r>
    </w:p>
    <w:p w14:paraId="164A5B27" w14:textId="77777777" w:rsidR="003A5406" w:rsidRDefault="003A5406" w:rsidP="003A5406"/>
    <w:p w14:paraId="3D97AE6D" w14:textId="77777777" w:rsidR="003A5406" w:rsidRDefault="003A5406" w:rsidP="003A5406">
      <w:pPr>
        <w:rPr>
          <w:b/>
          <w:bCs/>
        </w:rPr>
      </w:pPr>
      <w:r>
        <w:rPr>
          <w:b/>
          <w:bCs/>
        </w:rPr>
        <w:t>Complete a review of Phase 2 channel rehabilitation sites (Key Uncertainty #1)</w:t>
      </w:r>
    </w:p>
    <w:p w14:paraId="7F0B5B78" w14:textId="77777777" w:rsidR="003A5406" w:rsidRDefault="003A5406" w:rsidP="003A5406">
      <w:pPr>
        <w:rPr>
          <w:rFonts w:cs="Calibri"/>
          <w:color w:val="000000"/>
        </w:rPr>
      </w:pPr>
      <w:r>
        <w:rPr>
          <w:rFonts w:cs="Calibri"/>
          <w:color w:val="000000"/>
        </w:rPr>
        <w:t xml:space="preserve">The Program’s treatment of channel rehabilitation sites is an example of passive Adaptive Management. </w:t>
      </w:r>
    </w:p>
    <w:p w14:paraId="71C0FC8F" w14:textId="77777777" w:rsidR="003A5406" w:rsidRDefault="003A5406" w:rsidP="003A5406">
      <w:r>
        <w:rPr>
          <w:rFonts w:cs="Calibri"/>
          <w:color w:val="000000"/>
        </w:rPr>
        <w:t xml:space="preserve">While substantial learning has been documented, there remains some disagreement about the approach to rehabilitation sites and therefore the SPDC recommends completing a formal review of Phase 2 design and implementation. In addition, such a review could also provide guidance in terms of what site maintenance is required and where / when it should occur. This review should result in a river corridor plan. </w:t>
      </w:r>
      <w:r>
        <w:rPr>
          <w:b/>
          <w:bCs/>
        </w:rPr>
        <w:t>[Timing: one-off exercise]</w:t>
      </w:r>
    </w:p>
    <w:p w14:paraId="13A5DE6E" w14:textId="77777777" w:rsidR="003A5406" w:rsidRDefault="003A5406" w:rsidP="003A5406">
      <w:pPr>
        <w:rPr>
          <w:b/>
          <w:bCs/>
        </w:rPr>
      </w:pPr>
    </w:p>
    <w:p w14:paraId="5D52EBC4" w14:textId="77777777" w:rsidR="003A5406" w:rsidRDefault="003A5406" w:rsidP="003A5406">
      <w:pPr>
        <w:rPr>
          <w:b/>
          <w:bCs/>
        </w:rPr>
      </w:pPr>
      <w:r>
        <w:rPr>
          <w:b/>
          <w:bCs/>
        </w:rPr>
        <w:t>Complete a limiting factors assessment (Key Uncertainty #4)</w:t>
      </w:r>
    </w:p>
    <w:p w14:paraId="512B94D2" w14:textId="77777777" w:rsidR="003A5406" w:rsidRDefault="003A5406" w:rsidP="003A5406">
      <w:r>
        <w:rPr>
          <w:rFonts w:cstheme="minorHAnsi"/>
        </w:rPr>
        <w:t xml:space="preserve">A limiting factor analysis should be conducted during Phase 3 to re-examine the original assumption of limited physical juvenile rearing habitat in the upper Trinity River as being the bottleneck to production. Contemporary limiting factors can establish a new, lower level of the abundance of target species that were not previously considered (Hamilton and Murphy 2018). This could contribute to reducing or eliminating the benefits to fish populations from gains in habitat or another limiting factor (Hamilton and Murphy 2018), like habitat rehabilitation on the Trinity River. The manifestation of a limiting factor at some point in the future can nullify years of targeted resource management (Hamilton and Murphy 2018). There are several potential new limiting factors for the Trinity River that have emerged since the 1990s, providing good reasoning to reevaluate working hypotheses. </w:t>
      </w:r>
      <w:r>
        <w:rPr>
          <w:b/>
          <w:bCs/>
        </w:rPr>
        <w:t>[Timing: 3 years??]</w:t>
      </w:r>
    </w:p>
    <w:p w14:paraId="0FF9153B" w14:textId="77777777" w:rsidR="003A5406" w:rsidRDefault="003A5406" w:rsidP="003A5406">
      <w:pPr>
        <w:rPr>
          <w:rFonts w:asciiTheme="majorHAnsi" w:eastAsiaTheme="majorEastAsia" w:hAnsiTheme="majorHAnsi" w:cstheme="majorBidi"/>
          <w:sz w:val="24"/>
          <w:szCs w:val="24"/>
        </w:rPr>
      </w:pPr>
    </w:p>
    <w:p w14:paraId="61B04336" w14:textId="77777777" w:rsidR="003A5406" w:rsidRDefault="003A5406" w:rsidP="003A5406">
      <w:pPr>
        <w:spacing w:after="160" w:line="256" w:lineRule="auto"/>
        <w:rPr>
          <w:b/>
          <w:bCs/>
        </w:rPr>
      </w:pPr>
      <w:r>
        <w:rPr>
          <w:b/>
          <w:bCs/>
        </w:rPr>
        <w:t xml:space="preserve">Complete a phase 3 review to determine whether ROD actions are sufficient to achieve goals (Key Uncertainty #5). </w:t>
      </w:r>
    </w:p>
    <w:p w14:paraId="420F5319" w14:textId="77777777" w:rsidR="003A5406" w:rsidRDefault="003A5406" w:rsidP="003A5406">
      <w:r>
        <w:t>The Program will be over 30 years old at the end of Phase 3. A lot has been learned since 2000, from Program experience as well as the broader scientific community. The context has also changed substantially with climate change and related factors being more prevalent. The ROD actions themselves should be evaluated at the end of Phase 3 to determine whether they are sufficient to achieve Program goals. This exercise involves a combination of data analysis (using core activities) to determine whether actions are leading to positive changes as predicted and modeling to assess the likelihood of future gains (e.g., maximum habitat possible with footprint of channel rehabilitation sites). If at the end of Phase 3, the data demonstrate that the TRRP is unlikely to achieve Program goals through tools and decision space provided by the ROD, then ROD actions should be revisited accounting for the current context (</w:t>
      </w:r>
      <w:r>
        <w:rPr>
          <w:highlight w:val="yellow"/>
        </w:rPr>
        <w:t>Section – What has changed</w:t>
      </w:r>
      <w:r>
        <w:t>) and factors currently outside of TRRP control (</w:t>
      </w:r>
      <w:r>
        <w:rPr>
          <w:highlight w:val="yellow"/>
        </w:rPr>
        <w:t>section -</w:t>
      </w:r>
      <w:r>
        <w:t xml:space="preserve"> </w:t>
      </w:r>
      <w:r>
        <w:rPr>
          <w:highlight w:val="yellow"/>
        </w:rPr>
        <w:t>Scope</w:t>
      </w:r>
      <w:r>
        <w:t>). Active Adaptive Management is not possible for this management action as there is no replicate for the TRRP.</w:t>
      </w:r>
      <w:r>
        <w:rPr>
          <w:b/>
          <w:bCs/>
        </w:rPr>
        <w:t xml:space="preserve"> [Timing: at end of Phase 3]</w:t>
      </w:r>
    </w:p>
    <w:p w14:paraId="60F3AFCF" w14:textId="77777777" w:rsidR="003A5406" w:rsidRDefault="003A5406" w:rsidP="003A5406">
      <w:pPr>
        <w:rPr>
          <w:rFonts w:asciiTheme="majorHAnsi" w:eastAsiaTheme="majorEastAsia" w:hAnsiTheme="majorHAnsi" w:cstheme="majorBidi"/>
          <w:b/>
          <w:bCs/>
          <w:sz w:val="24"/>
          <w:szCs w:val="24"/>
        </w:rPr>
      </w:pPr>
    </w:p>
    <w:p w14:paraId="7FAC8E35" w14:textId="77777777" w:rsidR="003A5406" w:rsidRDefault="003A5406" w:rsidP="003A5406">
      <w:pPr>
        <w:pStyle w:val="Caption"/>
        <w:rPr>
          <w:rFonts w:asciiTheme="majorHAnsi" w:eastAsiaTheme="majorEastAsia" w:hAnsiTheme="majorHAnsi" w:cstheme="majorBidi"/>
          <w:b/>
          <w:bCs/>
          <w:sz w:val="24"/>
          <w:szCs w:val="24"/>
        </w:rPr>
      </w:pPr>
      <w:r>
        <w:t xml:space="preserve">Figure </w:t>
      </w:r>
      <w:r>
        <w:fldChar w:fldCharType="begin"/>
      </w:r>
      <w:r>
        <w:instrText xml:space="preserve"> SEQ Figure \* ARABIC </w:instrText>
      </w:r>
      <w:r>
        <w:fldChar w:fldCharType="separate"/>
      </w:r>
      <w:r>
        <w:rPr>
          <w:noProof/>
        </w:rPr>
        <w:t>3</w:t>
      </w:r>
      <w:r>
        <w:fldChar w:fldCharType="end"/>
      </w:r>
      <w:r>
        <w:t xml:space="preserve">. Sequencing and expected duration of tasks to resolve key </w:t>
      </w:r>
      <w:proofErr w:type="spellStart"/>
      <w:proofErr w:type="gramStart"/>
      <w:r>
        <w:t>uncertainties.The</w:t>
      </w:r>
      <w:proofErr w:type="spellEnd"/>
      <w:proofErr w:type="gramEnd"/>
      <w:r>
        <w:t xml:space="preserve"> darker shade of grey indicates greater uncertainty.</w:t>
      </w:r>
    </w:p>
    <w:p w14:paraId="19D88AAE" w14:textId="7908C771" w:rsidR="003A5406" w:rsidRDefault="003A5406" w:rsidP="003A5406">
      <w:pPr>
        <w:rPr>
          <w:rFonts w:asciiTheme="majorHAnsi" w:eastAsiaTheme="majorEastAsia" w:hAnsiTheme="majorHAnsi" w:cstheme="majorBidi"/>
          <w:b/>
          <w:bCs/>
          <w:sz w:val="24"/>
          <w:szCs w:val="24"/>
        </w:rPr>
      </w:pPr>
      <w:r>
        <w:rPr>
          <w:noProof/>
        </w:rPr>
        <w:drawing>
          <wp:inline distT="0" distB="0" distL="0" distR="0" wp14:anchorId="0FD3DF18" wp14:editId="77CC709A">
            <wp:extent cx="5943600" cy="1402080"/>
            <wp:effectExtent l="0" t="0" r="0" b="762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402080"/>
                    </a:xfrm>
                    <a:prstGeom prst="rect">
                      <a:avLst/>
                    </a:prstGeom>
                    <a:noFill/>
                    <a:ln>
                      <a:noFill/>
                    </a:ln>
                  </pic:spPr>
                </pic:pic>
              </a:graphicData>
            </a:graphic>
          </wp:inline>
        </w:drawing>
      </w:r>
    </w:p>
    <w:p w14:paraId="23125559" w14:textId="77777777" w:rsidR="003A5406" w:rsidRDefault="003A5406"/>
    <w:sectPr w:rsidR="003A54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7E801" w14:textId="77777777" w:rsidR="003A5406" w:rsidRDefault="003A5406" w:rsidP="003A5406">
      <w:r>
        <w:separator/>
      </w:r>
    </w:p>
  </w:endnote>
  <w:endnote w:type="continuationSeparator" w:id="0">
    <w:p w14:paraId="3536BBEA" w14:textId="77777777" w:rsidR="003A5406" w:rsidRDefault="003A5406" w:rsidP="003A5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2FF41" w14:textId="77777777" w:rsidR="003A5406" w:rsidRDefault="003A5406" w:rsidP="003A5406">
      <w:r>
        <w:separator/>
      </w:r>
    </w:p>
  </w:footnote>
  <w:footnote w:type="continuationSeparator" w:id="0">
    <w:p w14:paraId="4BBC6A06" w14:textId="77777777" w:rsidR="003A5406" w:rsidRDefault="003A5406" w:rsidP="003A5406">
      <w:r>
        <w:continuationSeparator/>
      </w:r>
    </w:p>
  </w:footnote>
  <w:footnote w:id="1">
    <w:p w14:paraId="139CC2FB" w14:textId="77777777" w:rsidR="003A5406" w:rsidRDefault="003A5406" w:rsidP="003A5406">
      <w:pPr>
        <w:pStyle w:val="FootnoteText"/>
        <w:rPr>
          <w:lang w:val="en-CA"/>
        </w:rPr>
      </w:pPr>
      <w:r>
        <w:rPr>
          <w:rStyle w:val="FootnoteReference"/>
        </w:rPr>
        <w:footnoteRef/>
      </w:r>
      <w:r>
        <w:t xml:space="preserve"> Key </w:t>
      </w:r>
      <w:r>
        <w:rPr>
          <w:lang w:val="en-CA"/>
        </w:rPr>
        <w:t xml:space="preserve">Uncertainties are numbered to make it easier to cross reference them later. The numbers are not intended to imply relative importance. Loosely speaking they follow the same sequence as the Program Goal Statements.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902BD"/>
    <w:multiLevelType w:val="hybridMultilevel"/>
    <w:tmpl w:val="7B56EDE2"/>
    <w:lvl w:ilvl="0" w:tplc="1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A910730"/>
    <w:multiLevelType w:val="hybridMultilevel"/>
    <w:tmpl w:val="C9A43844"/>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6111064B"/>
    <w:multiLevelType w:val="hybridMultilevel"/>
    <w:tmpl w:val="958212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6982BEE"/>
    <w:multiLevelType w:val="hybridMultilevel"/>
    <w:tmpl w:val="004A81D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406"/>
    <w:rsid w:val="003A5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B9DE6"/>
  <w15:chartTrackingRefBased/>
  <w15:docId w15:val="{0F0F65FB-AD0C-4997-BE82-C72593AE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406"/>
    <w:pPr>
      <w:spacing w:after="0" w:line="240" w:lineRule="auto"/>
    </w:pPr>
    <w:rPr>
      <w:rFonts w:ascii="Calibri" w:hAnsi="Calibri"/>
    </w:rPr>
  </w:style>
  <w:style w:type="paragraph" w:styleId="Heading2">
    <w:name w:val="heading 2"/>
    <w:basedOn w:val="Normal"/>
    <w:next w:val="Normal"/>
    <w:link w:val="Heading2Char"/>
    <w:uiPriority w:val="9"/>
    <w:semiHidden/>
    <w:unhideWhenUsed/>
    <w:qFormat/>
    <w:rsid w:val="003A5406"/>
    <w:pPr>
      <w:keepNext/>
      <w:keepLines/>
      <w:spacing w:before="40"/>
      <w:outlineLvl w:val="1"/>
    </w:pPr>
    <w:rPr>
      <w:rFonts w:asciiTheme="majorHAnsi" w:eastAsiaTheme="majorEastAsia" w:hAnsiTheme="majorHAnsi" w:cstheme="majorBidi"/>
      <w:b/>
      <w:color w:val="7F7F7F" w:themeColor="text1" w:themeTint="80"/>
      <w:sz w:val="26"/>
      <w:szCs w:val="26"/>
    </w:rPr>
  </w:style>
  <w:style w:type="paragraph" w:styleId="Heading3">
    <w:name w:val="heading 3"/>
    <w:basedOn w:val="Normal"/>
    <w:next w:val="Normal"/>
    <w:link w:val="Heading3Char"/>
    <w:uiPriority w:val="9"/>
    <w:semiHidden/>
    <w:unhideWhenUsed/>
    <w:qFormat/>
    <w:rsid w:val="003A5406"/>
    <w:pPr>
      <w:keepNext/>
      <w:keepLines/>
      <w:spacing w:before="40"/>
      <w:outlineLvl w:val="2"/>
    </w:pPr>
    <w:rPr>
      <w:rFonts w:asciiTheme="majorHAnsi" w:eastAsiaTheme="majorEastAsia" w:hAnsiTheme="majorHAnsi" w:cstheme="majorBidi"/>
      <w:color w:val="7F7F7F" w:themeColor="text1" w:themeTint="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A5406"/>
    <w:rPr>
      <w:rFonts w:asciiTheme="majorHAnsi" w:eastAsiaTheme="majorEastAsia" w:hAnsiTheme="majorHAnsi" w:cstheme="majorBidi"/>
      <w:b/>
      <w:color w:val="7F7F7F" w:themeColor="text1" w:themeTint="80"/>
      <w:sz w:val="26"/>
      <w:szCs w:val="26"/>
    </w:rPr>
  </w:style>
  <w:style w:type="character" w:customStyle="1" w:styleId="Heading3Char">
    <w:name w:val="Heading 3 Char"/>
    <w:basedOn w:val="DefaultParagraphFont"/>
    <w:link w:val="Heading3"/>
    <w:uiPriority w:val="9"/>
    <w:semiHidden/>
    <w:rsid w:val="003A5406"/>
    <w:rPr>
      <w:rFonts w:asciiTheme="majorHAnsi" w:eastAsiaTheme="majorEastAsia" w:hAnsiTheme="majorHAnsi" w:cstheme="majorBidi"/>
      <w:color w:val="7F7F7F" w:themeColor="text1" w:themeTint="80"/>
      <w:sz w:val="24"/>
      <w:szCs w:val="24"/>
    </w:rPr>
  </w:style>
  <w:style w:type="paragraph" w:styleId="FootnoteText">
    <w:name w:val="footnote text"/>
    <w:basedOn w:val="Normal"/>
    <w:link w:val="FootnoteTextChar"/>
    <w:uiPriority w:val="99"/>
    <w:semiHidden/>
    <w:unhideWhenUsed/>
    <w:rsid w:val="003A5406"/>
    <w:rPr>
      <w:sz w:val="20"/>
      <w:szCs w:val="20"/>
    </w:rPr>
  </w:style>
  <w:style w:type="character" w:customStyle="1" w:styleId="FootnoteTextChar">
    <w:name w:val="Footnote Text Char"/>
    <w:basedOn w:val="DefaultParagraphFont"/>
    <w:link w:val="FootnoteText"/>
    <w:uiPriority w:val="99"/>
    <w:semiHidden/>
    <w:rsid w:val="003A5406"/>
    <w:rPr>
      <w:rFonts w:ascii="Calibri" w:hAnsi="Calibri"/>
      <w:sz w:val="20"/>
      <w:szCs w:val="20"/>
    </w:rPr>
  </w:style>
  <w:style w:type="paragraph" w:styleId="CommentText">
    <w:name w:val="annotation text"/>
    <w:basedOn w:val="Normal"/>
    <w:link w:val="CommentTextChar"/>
    <w:uiPriority w:val="99"/>
    <w:semiHidden/>
    <w:unhideWhenUsed/>
    <w:rsid w:val="003A5406"/>
    <w:rPr>
      <w:sz w:val="20"/>
      <w:szCs w:val="20"/>
    </w:rPr>
  </w:style>
  <w:style w:type="character" w:customStyle="1" w:styleId="CommentTextChar">
    <w:name w:val="Comment Text Char"/>
    <w:basedOn w:val="DefaultParagraphFont"/>
    <w:link w:val="CommentText"/>
    <w:uiPriority w:val="99"/>
    <w:semiHidden/>
    <w:rsid w:val="003A5406"/>
    <w:rPr>
      <w:rFonts w:ascii="Calibri" w:hAnsi="Calibri"/>
      <w:sz w:val="20"/>
      <w:szCs w:val="20"/>
    </w:rPr>
  </w:style>
  <w:style w:type="paragraph" w:styleId="Caption">
    <w:name w:val="caption"/>
    <w:basedOn w:val="Normal"/>
    <w:next w:val="Normal"/>
    <w:uiPriority w:val="35"/>
    <w:semiHidden/>
    <w:unhideWhenUsed/>
    <w:qFormat/>
    <w:rsid w:val="003A5406"/>
    <w:pPr>
      <w:spacing w:after="200"/>
    </w:pPr>
    <w:rPr>
      <w:i/>
      <w:iCs/>
      <w:color w:val="44546A" w:themeColor="text2"/>
      <w:sz w:val="18"/>
      <w:szCs w:val="18"/>
    </w:rPr>
  </w:style>
  <w:style w:type="paragraph" w:styleId="NoSpacing">
    <w:name w:val="No Spacing"/>
    <w:uiPriority w:val="1"/>
    <w:qFormat/>
    <w:rsid w:val="003A5406"/>
    <w:pPr>
      <w:spacing w:after="0" w:line="240" w:lineRule="auto"/>
    </w:pPr>
    <w:rPr>
      <w:rFonts w:ascii="Calibri" w:hAnsi="Calibri"/>
    </w:rPr>
  </w:style>
  <w:style w:type="paragraph" w:styleId="ListParagraph">
    <w:name w:val="List Paragraph"/>
    <w:basedOn w:val="Normal"/>
    <w:uiPriority w:val="34"/>
    <w:qFormat/>
    <w:rsid w:val="003A5406"/>
    <w:pPr>
      <w:ind w:left="720"/>
      <w:contextualSpacing/>
    </w:pPr>
  </w:style>
  <w:style w:type="character" w:styleId="FootnoteReference">
    <w:name w:val="footnote reference"/>
    <w:basedOn w:val="DefaultParagraphFont"/>
    <w:uiPriority w:val="99"/>
    <w:semiHidden/>
    <w:unhideWhenUsed/>
    <w:rsid w:val="003A5406"/>
    <w:rPr>
      <w:vertAlign w:val="superscript"/>
    </w:rPr>
  </w:style>
  <w:style w:type="character" w:styleId="CommentReference">
    <w:name w:val="annotation reference"/>
    <w:basedOn w:val="DefaultParagraphFont"/>
    <w:uiPriority w:val="99"/>
    <w:semiHidden/>
    <w:unhideWhenUsed/>
    <w:rsid w:val="003A5406"/>
    <w:rPr>
      <w:sz w:val="16"/>
      <w:szCs w:val="16"/>
    </w:rPr>
  </w:style>
  <w:style w:type="table" w:styleId="TableGrid">
    <w:name w:val="Table Grid"/>
    <w:basedOn w:val="TableNormal"/>
    <w:uiPriority w:val="39"/>
    <w:rsid w:val="003A5406"/>
    <w:pPr>
      <w:spacing w:after="0" w:line="240" w:lineRule="auto"/>
    </w:pPr>
    <w:rPr>
      <w:lang w:val="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1375</Words>
  <Characters>7840</Characters>
  <Application>Microsoft Office Word</Application>
  <DocSecurity>0</DocSecurity>
  <Lines>65</Lines>
  <Paragraphs>18</Paragraphs>
  <ScaleCrop>false</ScaleCrop>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James C</dc:creator>
  <cp:keywords/>
  <dc:description/>
  <cp:lastModifiedBy>Lee, James C</cp:lastModifiedBy>
  <cp:revision>1</cp:revision>
  <dcterms:created xsi:type="dcterms:W3CDTF">2022-05-19T20:15:00Z</dcterms:created>
  <dcterms:modified xsi:type="dcterms:W3CDTF">2022-05-19T20:16:00Z</dcterms:modified>
</cp:coreProperties>
</file>